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jpeg" ContentType="image/jpeg"/>
  <Override PartName="/word/media/image4.png" ContentType="image/png"/>
  <Override PartName="/word/media/image6.jpeg" ContentType="image/jpeg"/>
  <Override PartName="/word/media/image5.jpeg" ContentType="image/jpeg"/>
  <Override PartName="/word/media/image8.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png" ContentType="image/png"/>
  <Override PartName="/word/media/image16.jpeg" ContentType="image/jpeg"/>
  <Override PartName="/word/media/image17.jpeg" ContentType="image/jpeg"/>
  <Override PartName="/word/media/image18.jpeg" ContentType="image/jpeg"/>
  <Override PartName="/word/media/image19.jpeg" ContentType="image/jpeg"/>
  <Override PartName="/word/media/image20.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header5.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2.xlsx" ContentType="application/vnd.openxmlformats-officedocument.spreadsheetml.sheet"/>
  <Override PartName="/word/embeddings/Microsoft_Excel_Worksheet1.xlsx" ContentType="application/vnd.openxmlformats-officedocument.spreadsheetml.sheet"/>
  <Override PartName="/word/embeddings/Microsoft_Excel_Workshee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rPr>
          <w:rFonts w:ascii="Calibri" w:hAnsi="Calibri" w:cs="Calibri" w:asciiTheme="minorHAnsi" w:cstheme="minorHAnsi" w:hAnsiTheme="minorHAnsi"/>
          <w:bCs/>
          <w:lang w:eastAsia="pl-PL"/>
        </w:rPr>
      </w:pPr>
      <w:bookmarkStart w:id="0" w:name="_Hlk86826722"/>
      <w:bookmarkStart w:id="1" w:name="_Toc69212048"/>
      <w:bookmarkEnd w:id="0"/>
      <w:bookmarkEnd w:id="1"/>
      <w:r>
        <w:rPr>
          <w:rFonts w:cs="Calibri" w:cstheme="minorHAnsi"/>
          <w:bCs/>
          <w:lang w:eastAsia="pl-PL"/>
        </w:rPr>
        <w:t>Załącznik nr 1</w:t>
      </w:r>
    </w:p>
    <w:p>
      <w:pPr>
        <w:pStyle w:val="NoSpacing"/>
        <w:rPr>
          <w:rFonts w:ascii="Calibri" w:hAnsi="Calibri" w:cs="Calibri" w:asciiTheme="minorHAnsi" w:cstheme="minorHAnsi" w:hAnsiTheme="minorHAnsi"/>
          <w:bCs/>
          <w:lang w:eastAsia="pl-PL"/>
        </w:rPr>
      </w:pPr>
      <w:r>
        <w:rPr>
          <w:rFonts w:cs="Calibri" w:cstheme="minorHAnsi"/>
          <w:bCs/>
          <w:lang w:eastAsia="pl-PL"/>
        </w:rPr>
        <w:t xml:space="preserve">do zarządzenia nr …./2022 </w:t>
      </w:r>
    </w:p>
    <w:p>
      <w:pPr>
        <w:pStyle w:val="NoSpacing"/>
        <w:jc w:val="both"/>
        <w:rPr>
          <w:rFonts w:ascii="Calibri" w:hAnsi="Calibri" w:cs="Calibri" w:asciiTheme="minorHAnsi" w:cstheme="minorHAnsi" w:hAnsiTheme="minorHAnsi"/>
          <w:bCs/>
          <w:lang w:eastAsia="pl-PL"/>
        </w:rPr>
      </w:pPr>
      <w:r>
        <w:rPr>
          <w:rFonts w:cs="Calibri" w:cstheme="minorHAnsi"/>
          <w:bCs/>
          <w:lang w:eastAsia="pl-PL"/>
        </w:rPr>
        <w:t xml:space="preserve">Wójta Gminy Dwikozy </w:t>
      </w:r>
    </w:p>
    <w:p>
      <w:pPr>
        <w:pStyle w:val="Normal"/>
        <w:spacing w:lineRule="auto" w:line="240" w:before="0" w:after="0"/>
        <w:jc w:val="both"/>
        <w:rPr/>
      </w:pPr>
      <w:r>
        <w:rPr/>
        <w:t>w sprawie przeprowadzenia konsultacji społecznych projektu Diagnozy Strategicznej sytuacji społecznej, gospodarczej i przestrzennej Gminy Dwikozy dla „</w:t>
      </w:r>
      <w:bookmarkStart w:id="2" w:name="_Hlk104375593"/>
      <w:bookmarkStart w:id="3" w:name="_Hlk104375592"/>
      <w:r>
        <w:rPr>
          <w:sz w:val="21"/>
          <w:szCs w:val="21"/>
        </w:rPr>
        <w:t xml:space="preserve">Strategii Rozwoju </w:t>
      </w:r>
      <w:bookmarkEnd w:id="2"/>
      <w:bookmarkEnd w:id="3"/>
      <w:r>
        <w:rPr>
          <w:sz w:val="21"/>
          <w:szCs w:val="21"/>
        </w:rPr>
        <w:t xml:space="preserve">Gminy Dwikozy </w:t>
      </w:r>
      <w:r>
        <w:rPr>
          <w:color w:val="000000" w:themeColor="text1"/>
        </w:rPr>
        <w:t>do roku 2030”</w:t>
      </w:r>
    </w:p>
    <w:p>
      <w:pPr>
        <w:pStyle w:val="NoSpacing"/>
        <w:jc w:val="right"/>
        <w:rPr>
          <w:rFonts w:ascii="Calibri" w:hAnsi="Calibri" w:cs="Calibri" w:asciiTheme="minorHAnsi" w:cstheme="minorHAnsi" w:hAnsiTheme="minorHAnsi"/>
          <w:color w:val="FF0000"/>
          <w:sz w:val="40"/>
          <w:szCs w:val="40"/>
        </w:rPr>
      </w:pPr>
      <w:r>
        <w:rPr>
          <w:rFonts w:cs="Calibri" w:cstheme="minorHAnsi"/>
          <w:color w:val="FF0000"/>
          <w:sz w:val="40"/>
          <w:szCs w:val="40"/>
        </w:rPr>
        <w:t>PROJEKT</w:t>
      </w:r>
    </w:p>
    <w:p>
      <w:pPr>
        <w:pStyle w:val="NoSpacing"/>
        <w:jc w:val="right"/>
        <w:rPr>
          <w:rFonts w:ascii="Calibri" w:hAnsi="Calibri" w:cs="Calibri" w:asciiTheme="minorHAnsi" w:cstheme="minorHAnsi" w:hAnsiTheme="minorHAnsi"/>
          <w:color w:val="FF0000"/>
          <w:sz w:val="40"/>
          <w:szCs w:val="40"/>
        </w:rPr>
      </w:pPr>
      <w:r>
        <w:rPr>
          <w:rFonts w:cs="Calibri" w:cstheme="minorHAnsi"/>
          <w:color w:val="FF0000"/>
          <w:sz w:val="40"/>
          <w:szCs w:val="40"/>
        </w:rPr>
      </w:r>
    </w:p>
    <w:p>
      <w:pPr>
        <w:pStyle w:val="NoSpacing"/>
        <w:jc w:val="center"/>
        <w:rPr>
          <w:rFonts w:ascii="Calibri" w:hAnsi="Calibri" w:cs="Calibri" w:asciiTheme="minorHAnsi" w:cstheme="minorHAnsi" w:hAnsiTheme="minorHAnsi"/>
        </w:rPr>
      </w:pPr>
      <w:r>
        <w:rPr>
          <w:rFonts w:cs="Calibri" w:cstheme="minorHAnsi"/>
        </w:rPr>
      </w:r>
    </w:p>
    <w:sdt>
      <w:sdtPr>
        <w:docPartObj>
          <w:docPartGallery w:val="Cover Pages"/>
          <w:docPartUnique w:val="true"/>
        </w:docPartObj>
        <w:id w:val="516531617"/>
      </w:sdtPr>
      <w:sdtContent>
        <w:p>
          <w:pPr>
            <w:pStyle w:val="NoSpacing"/>
            <w:jc w:val="center"/>
            <w:rPr>
              <w:rFonts w:ascii="Calibri" w:hAnsi="Calibri" w:cs="Calibri" w:asciiTheme="minorHAnsi" w:cstheme="minorHAnsi" w:hAnsiTheme="minorHAnsi"/>
            </w:rPr>
          </w:pPr>
          <w:r>
            <w:rPr/>
            <w:drawing>
              <wp:inline distT="0" distB="0" distL="0" distR="0">
                <wp:extent cx="2182495" cy="2597150"/>
                <wp:effectExtent l="0" t="0" r="0" b="0"/>
                <wp:docPr id="1" name="Obraz 4"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Herb"/>
                        <pic:cNvPicPr>
                          <a:picLocks noChangeAspect="1" noChangeArrowheads="1"/>
                        </pic:cNvPicPr>
                      </pic:nvPicPr>
                      <pic:blipFill>
                        <a:blip r:embed="rId2"/>
                        <a:stretch>
                          <a:fillRect/>
                        </a:stretch>
                      </pic:blipFill>
                      <pic:spPr bwMode="auto">
                        <a:xfrm>
                          <a:off x="0" y="0"/>
                          <a:ext cx="2182495" cy="2597150"/>
                        </a:xfrm>
                        <a:prstGeom prst="rect">
                          <a:avLst/>
                        </a:prstGeom>
                      </pic:spPr>
                    </pic:pic>
                  </a:graphicData>
                </a:graphic>
              </wp:inline>
            </w:drawing>
          </w:r>
        </w:p>
        <w:p>
          <w:pPr>
            <w:pStyle w:val="NoSpacing"/>
            <w:rPr>
              <w:rFonts w:ascii="Calibri" w:hAnsi="Calibri" w:cs="Calibri" w:asciiTheme="minorHAnsi" w:cstheme="minorHAnsi" w:hAnsiTheme="minorHAnsi"/>
              <w:b/>
              <w:b/>
              <w:bCs/>
            </w:rPr>
          </w:pPr>
          <w:r>
            <w:rPr>
              <w:rFonts w:cs="Calibri" w:cstheme="minorHAnsi"/>
              <w:b/>
              <w:bCs/>
            </w:rPr>
          </w:r>
        </w:p>
        <w:p>
          <w:pPr>
            <w:pStyle w:val="NoSpacing"/>
            <w:jc w:val="center"/>
            <w:rPr>
              <w:rFonts w:ascii="Calibri" w:hAnsi="Calibri" w:cs="Calibri" w:asciiTheme="minorHAnsi" w:cstheme="minorHAnsi" w:hAnsiTheme="minorHAnsi"/>
              <w:b/>
              <w:b/>
              <w:bCs/>
              <w:sz w:val="52"/>
              <w:szCs w:val="52"/>
            </w:rPr>
          </w:pPr>
          <w:r>
            <w:rPr>
              <w:rFonts w:cs="Calibri" w:cstheme="minorHAnsi"/>
              <w:b/>
              <w:bCs/>
              <w:sz w:val="52"/>
              <w:szCs w:val="52"/>
            </w:rPr>
            <w:t>Diagnoza strategiczna</w:t>
          </w:r>
        </w:p>
        <w:p>
          <w:pPr>
            <w:pStyle w:val="NoSpacing"/>
            <w:jc w:val="center"/>
            <w:rPr>
              <w:rFonts w:ascii="Calibri" w:hAnsi="Calibri" w:cs="Calibri" w:asciiTheme="minorHAnsi" w:cstheme="minorHAnsi" w:hAnsiTheme="minorHAnsi"/>
              <w:b/>
              <w:b/>
              <w:bCs/>
              <w:sz w:val="52"/>
              <w:szCs w:val="52"/>
            </w:rPr>
          </w:pPr>
          <w:r>
            <w:rPr>
              <w:rFonts w:cs="Calibri" w:cstheme="minorHAnsi"/>
              <w:b/>
              <w:bCs/>
              <w:sz w:val="52"/>
              <w:szCs w:val="52"/>
            </w:rPr>
            <w:t xml:space="preserve">sytuacji społecznej, gospodarczej </w:t>
            <w:br/>
            <w:t>i przestrzennej Gminy Dwikozy</w:t>
          </w:r>
        </w:p>
        <w:p>
          <w:pPr>
            <w:pStyle w:val="NoSpacing"/>
            <w:jc w:val="both"/>
            <w:rPr>
              <w:rFonts w:ascii="Calibri" w:hAnsi="Calibri" w:cs="Calibri" w:asciiTheme="minorHAnsi" w:cstheme="minorHAnsi" w:hAnsiTheme="minorHAnsi"/>
              <w:b/>
              <w:b/>
              <w:bCs/>
              <w:sz w:val="52"/>
              <w:szCs w:val="52"/>
            </w:rPr>
          </w:pPr>
          <w:r>
            <w:rPr>
              <w:rFonts w:cs="Calibri" w:cstheme="minorHAnsi"/>
              <w:b/>
              <w:bCs/>
              <w:sz w:val="52"/>
              <w:szCs w:val="52"/>
            </w:rPr>
          </w:r>
        </w:p>
        <w:p>
          <w:pPr>
            <w:pStyle w:val="NoSpacing"/>
            <w:jc w:val="both"/>
            <w:rPr>
              <w:rFonts w:ascii="Calibri" w:hAnsi="Calibri" w:cs="Calibri" w:asciiTheme="minorHAnsi" w:cstheme="minorHAnsi" w:hAnsiTheme="minorHAnsi"/>
              <w:b/>
              <w:b/>
              <w:bCs/>
              <w:strike/>
            </w:rPr>
          </w:pPr>
          <w:r>
            <w:rPr>
              <w:rFonts w:cs="Calibri" w:cstheme="minorHAnsi"/>
              <w:b/>
              <w:bCs/>
              <w:strike/>
            </w:rPr>
          </w:r>
        </w:p>
        <w:p>
          <w:pPr>
            <w:pStyle w:val="NoSpacing"/>
            <w:jc w:val="both"/>
            <w:rPr>
              <w:rFonts w:ascii="Calibri" w:hAnsi="Calibri" w:cs="Calibri" w:asciiTheme="minorHAnsi" w:cstheme="minorHAnsi" w:hAnsiTheme="minorHAnsi"/>
              <w:b/>
              <w:b/>
              <w:bCs/>
              <w:strike/>
            </w:rPr>
          </w:pPr>
          <w:r>
            <w:rPr>
              <w:rFonts w:cs="Calibri" w:cstheme="minorHAnsi"/>
              <w:b/>
              <w:bCs/>
              <w:strike/>
            </w:rPr>
          </w:r>
        </w:p>
        <w:p>
          <w:pPr>
            <w:pStyle w:val="NoSpacing"/>
            <w:jc w:val="both"/>
            <w:rPr>
              <w:rFonts w:ascii="Calibri" w:hAnsi="Calibri" w:cs="Calibri" w:asciiTheme="minorHAnsi" w:cstheme="minorHAnsi" w:hAnsiTheme="minorHAnsi"/>
              <w:b/>
              <w:b/>
              <w:bCs/>
            </w:rPr>
          </w:pPr>
          <w:r>
            <w:rPr>
              <w:rFonts w:cs="Calibri" w:cstheme="minorHAnsi"/>
              <w:b/>
              <w:bCs/>
            </w:rPr>
          </w:r>
        </w:p>
        <w:p>
          <w:pPr>
            <w:pStyle w:val="NoSpacing"/>
            <w:jc w:val="both"/>
            <w:rPr>
              <w:rFonts w:ascii="Calibri" w:hAnsi="Calibri" w:cs="Calibri" w:asciiTheme="minorHAnsi" w:cstheme="minorHAnsi" w:hAnsiTheme="minorHAnsi"/>
              <w:b/>
              <w:b/>
              <w:bCs/>
            </w:rPr>
          </w:pPr>
          <w:r>
            <w:rPr>
              <w:rFonts w:cs="Calibri" w:cstheme="minorHAnsi"/>
              <w:b/>
              <w:bCs/>
            </w:rPr>
          </w:r>
        </w:p>
        <w:p>
          <w:pPr>
            <w:pStyle w:val="NoSpacing"/>
            <w:jc w:val="both"/>
            <w:rPr>
              <w:rFonts w:ascii="Calibri" w:hAnsi="Calibri" w:cs="Calibri" w:asciiTheme="minorHAnsi" w:cstheme="minorHAnsi" w:hAnsiTheme="minorHAnsi"/>
              <w:b/>
              <w:b/>
              <w:bCs/>
            </w:rPr>
          </w:pPr>
          <w:r>
            <w:rPr>
              <w:rFonts w:cs="Calibri" w:cstheme="minorHAnsi"/>
              <w:b/>
              <w:bCs/>
            </w:rPr>
          </w:r>
        </w:p>
        <w:p>
          <w:pPr>
            <w:pStyle w:val="NoSpacing"/>
            <w:rPr>
              <w:rFonts w:ascii="Calibri" w:hAnsi="Calibri" w:cs="Calibri" w:asciiTheme="minorHAnsi" w:cstheme="minorHAnsi" w:hAnsi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t>Listopad 2022r.</w:t>
          </w:r>
        </w:p>
        <w:p>
          <w:pPr>
            <w:pStyle w:val="Normal"/>
            <w:rPr>
              <w:rFonts w:cs="Calibri" w:cstheme="minorHAnsi"/>
            </w:rPr>
          </w:pPr>
          <w:r>
            <w:rPr>
              <w:rFonts w:cs="Calibri" w:cstheme="minorHAnsi"/>
            </w:rPr>
          </w:r>
          <w:r>
            <w:br w:type="page"/>
          </w:r>
        </w:p>
        <w:p>
          <w:pPr>
            <w:pStyle w:val="Normal"/>
            <w:spacing w:lineRule="auto" w:line="240" w:before="0" w:after="0"/>
            <w:rPr>
              <w:rFonts w:cs="Calibri" w:cstheme="minorHAnsi"/>
            </w:rPr>
          </w:pPr>
          <w:r>
            <w:rPr>
              <w:rFonts w:cs="Calibri" w:cstheme="minorHAnsi"/>
            </w:rPr>
          </w:r>
        </w:p>
        <w:p>
          <w:pPr>
            <w:pStyle w:val="NoSpacing"/>
            <w:jc w:val="both"/>
            <w:rPr>
              <w:rFonts w:ascii="Calibri" w:hAnsi="Calibri" w:cs="Calibri" w:asciiTheme="minorHAnsi" w:cstheme="minorHAnsi" w:hAnsiTheme="minorHAnsi"/>
              <w:iCs/>
              <w:color w:val="FF0000"/>
            </w:rPr>
          </w:pPr>
          <w:r>
            <w:rPr>
              <w:rFonts w:cs="Calibri" w:cstheme="minorHAnsi"/>
              <w:iCs/>
              <w:color w:val="FF0000"/>
            </w:rPr>
          </w:r>
          <w:bookmarkStart w:id="4" w:name="_Toc69212048"/>
          <w:bookmarkStart w:id="5" w:name="_Toc69212048"/>
          <w:bookmarkEnd w:id="5"/>
        </w:p>
        <w:p>
          <w:pPr>
            <w:pStyle w:val="Normal"/>
            <w:rPr/>
          </w:pPr>
          <w:bookmarkStart w:id="6" w:name="_Toc69212049"/>
          <w:r>
            <w:rPr>
              <w:rFonts w:cs="Calibri" w:cstheme="minorHAnsi"/>
              <w:b/>
              <w:bCs/>
              <w:sz w:val="28"/>
              <w:szCs w:val="28"/>
            </w:rPr>
            <w:t>Spis treśc</w:t>
          </w:r>
        </w:p>
      </w:sdtContent>
    </w:sdt>
    <w:sdt>
      <w:sdtPr>
        <w:docPartObj>
          <w:docPartGallery w:val="Table of Contents"/>
          <w:docPartUnique w:val="true"/>
        </w:docPartObj>
        <w:id w:val="837449608"/>
      </w:sdtPr>
      <w:sdtContent>
        <w:p>
          <w:pPr>
            <w:pStyle w:val="NoSpacing"/>
            <w:jc w:val="both"/>
            <w:rPr>
              <w:rFonts w:ascii="Calibri" w:hAnsi="Calibri"/>
            </w:rPr>
          </w:pPr>
          <w:r>
            <w:fldChar w:fldCharType="begin"/>
          </w:r>
          <w:r>
            <w:rPr>
              <w:sz w:val="28"/>
              <w:b/>
              <w:szCs w:val="28"/>
              <w:bCs/>
              <w:rFonts w:cs="Calibri"/>
            </w:rPr>
            <w:instrText xml:space="preserve"> TOC \z \o "1-3" \u \h</w:instrText>
          </w:r>
          <w:r>
            <w:rPr>
              <w:sz w:val="28"/>
              <w:b/>
              <w:szCs w:val="28"/>
              <w:bCs/>
              <w:rFonts w:cs="Calibri"/>
            </w:rPr>
            <w:fldChar w:fldCharType="separate"/>
          </w:r>
          <w:r>
            <w:rPr>
              <w:rFonts w:cs="Calibri" w:cstheme="minorHAnsi"/>
              <w:b/>
              <w:bCs/>
              <w:sz w:val="28"/>
              <w:szCs w:val="28"/>
            </w:rPr>
            <w:t>i</w:t>
          </w:r>
          <w:r>
            <w:rPr>
              <w:sz w:val="28"/>
              <w:b/>
              <w:szCs w:val="28"/>
              <w:bCs/>
              <w:rFonts w:cs="Calibri"/>
            </w:rPr>
            <w:fldChar w:fldCharType="end"/>
          </w:r>
        </w:p>
      </w:sdtContent>
    </w:sdt>
    <w:p>
      <w:pPr>
        <w:pStyle w:val="Spistreci1"/>
        <w:rPr>
          <w:rFonts w:ascii="Calibri" w:hAnsi="Calibri" w:eastAsia="" w:cs="" w:asciiTheme="minorHAnsi" w:cstheme="minorBidi" w:eastAsiaTheme="minorEastAsia" w:hAnsiTheme="minorHAnsi"/>
          <w:lang w:eastAsia="pl-PL"/>
        </w:rPr>
      </w:pPr>
      <w:hyperlink w:anchor="_Toc118887448">
        <w:r>
          <w:rPr>
            <w:rStyle w:val="Czeindeksu"/>
            <w:rFonts w:cs="Calibri" w:cstheme="minorHAnsi"/>
          </w:rPr>
          <w:t>1.</w:t>
        </w:r>
        <w:r>
          <w:rPr>
            <w:rStyle w:val="Czeindeksu"/>
            <w:rFonts w:eastAsia="" w:cs="" w:cstheme="minorBidi" w:eastAsiaTheme="minorEastAsia"/>
            <w:lang w:eastAsia="pl-PL"/>
          </w:rPr>
          <w:tab/>
        </w:r>
        <w:r>
          <w:rPr>
            <w:rStyle w:val="Czeindeksu"/>
            <w:rFonts w:cs="Calibri" w:cstheme="minorHAnsi"/>
          </w:rPr>
          <w:t>Charakterystyka gminy</w:t>
        </w:r>
        <w:r>
          <w:rPr>
            <w:webHidden/>
          </w:rPr>
          <w:fldChar w:fldCharType="begin"/>
        </w:r>
        <w:r>
          <w:rPr>
            <w:webHidden/>
          </w:rPr>
          <w:instrText xml:space="preserve">PAGEREF _Toc118887448 \h</w:instrText>
        </w:r>
        <w:r>
          <w:rPr>
            <w:webHidden/>
          </w:rPr>
          <w:fldChar w:fldCharType="separate"/>
        </w:r>
        <w:r>
          <w:rPr>
            <w:rStyle w:val="Czeindeksu"/>
            <w:vanish w:val="false"/>
          </w:rPr>
          <w:tab/>
          <w:t>3</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49">
        <w:r>
          <w:rPr>
            <w:rStyle w:val="Czeindeksu"/>
            <w:rFonts w:cs="Calibri" w:cstheme="minorHAnsi"/>
          </w:rPr>
          <w:t>1.1</w:t>
        </w:r>
        <w:r>
          <w:rPr>
            <w:rStyle w:val="Czeindeksu"/>
            <w:rFonts w:eastAsia="" w:cs="" w:cstheme="minorBidi" w:eastAsiaTheme="minorEastAsia"/>
            <w:lang w:eastAsia="pl-PL"/>
          </w:rPr>
          <w:tab/>
        </w:r>
        <w:r>
          <w:rPr>
            <w:rStyle w:val="Czeindeksu"/>
            <w:rFonts w:cs="Calibri" w:cstheme="minorHAnsi"/>
          </w:rPr>
          <w:t>Rys historyczny</w:t>
        </w:r>
        <w:r>
          <w:rPr>
            <w:webHidden/>
          </w:rPr>
          <w:fldChar w:fldCharType="begin"/>
        </w:r>
        <w:r>
          <w:rPr>
            <w:webHidden/>
          </w:rPr>
          <w:instrText xml:space="preserve">PAGEREF _Toc118887449 \h</w:instrText>
        </w:r>
        <w:r>
          <w:rPr>
            <w:webHidden/>
          </w:rPr>
          <w:fldChar w:fldCharType="separate"/>
        </w:r>
        <w:r>
          <w:rPr>
            <w:rStyle w:val="Czeindeksu"/>
            <w:vanish w:val="false"/>
          </w:rPr>
          <w:tab/>
          <w:t>3</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0">
        <w:r>
          <w:rPr>
            <w:rStyle w:val="Czeindeksu"/>
            <w:rFonts w:cs="Calibri" w:cstheme="minorHAnsi"/>
          </w:rPr>
          <w:t>1.2</w:t>
        </w:r>
        <w:r>
          <w:rPr>
            <w:rStyle w:val="Czeindeksu"/>
            <w:rFonts w:eastAsia="" w:cs="" w:cstheme="minorBidi" w:eastAsiaTheme="minorEastAsia"/>
            <w:lang w:eastAsia="pl-PL"/>
          </w:rPr>
          <w:tab/>
        </w:r>
        <w:r>
          <w:rPr>
            <w:rStyle w:val="Czeindeksu"/>
            <w:rFonts w:cs="Calibri" w:cstheme="minorHAnsi"/>
          </w:rPr>
          <w:t>Lokalne dziedzictwo</w:t>
        </w:r>
        <w:r>
          <w:rPr>
            <w:webHidden/>
          </w:rPr>
          <w:fldChar w:fldCharType="begin"/>
        </w:r>
        <w:r>
          <w:rPr>
            <w:webHidden/>
          </w:rPr>
          <w:instrText xml:space="preserve">PAGEREF _Toc118887450 \h</w:instrText>
        </w:r>
        <w:r>
          <w:rPr>
            <w:webHidden/>
          </w:rPr>
          <w:fldChar w:fldCharType="separate"/>
        </w:r>
        <w:r>
          <w:rPr>
            <w:rStyle w:val="Czeindeksu"/>
            <w:vanish w:val="false"/>
          </w:rPr>
          <w:tab/>
          <w:t>3</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1">
        <w:r>
          <w:rPr>
            <w:rStyle w:val="Czeindeksu"/>
            <w:rFonts w:cs="Calibri" w:cstheme="minorHAnsi"/>
          </w:rPr>
          <w:t>1.3</w:t>
        </w:r>
        <w:r>
          <w:rPr>
            <w:rStyle w:val="Czeindeksu"/>
            <w:rFonts w:eastAsia="" w:cs="" w:cstheme="minorBidi" w:eastAsiaTheme="minorEastAsia"/>
            <w:lang w:eastAsia="pl-PL"/>
          </w:rPr>
          <w:tab/>
        </w:r>
        <w:r>
          <w:rPr>
            <w:rStyle w:val="Czeindeksu"/>
            <w:rFonts w:cs="Calibri" w:cstheme="minorHAnsi"/>
          </w:rPr>
          <w:t>Obszary chronione na terenie Gminy Dwikozy</w:t>
        </w:r>
        <w:r>
          <w:rPr>
            <w:webHidden/>
          </w:rPr>
          <w:fldChar w:fldCharType="begin"/>
        </w:r>
        <w:r>
          <w:rPr>
            <w:webHidden/>
          </w:rPr>
          <w:instrText xml:space="preserve">PAGEREF _Toc118887451 \h</w:instrText>
        </w:r>
        <w:r>
          <w:rPr>
            <w:webHidden/>
          </w:rPr>
          <w:fldChar w:fldCharType="separate"/>
        </w:r>
        <w:r>
          <w:rPr>
            <w:rStyle w:val="Czeindeksu"/>
            <w:vanish w:val="false"/>
          </w:rPr>
          <w:tab/>
          <w:t>6</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2">
        <w:r>
          <w:rPr>
            <w:rStyle w:val="Czeindeksu"/>
            <w:rFonts w:cs="Calibri" w:cstheme="minorHAnsi"/>
          </w:rPr>
          <w:t>1.4</w:t>
        </w:r>
        <w:r>
          <w:rPr>
            <w:rStyle w:val="Czeindeksu"/>
            <w:rFonts w:eastAsia="" w:cs="" w:cstheme="minorBidi" w:eastAsiaTheme="minorEastAsia"/>
            <w:lang w:eastAsia="pl-PL"/>
          </w:rPr>
          <w:tab/>
        </w:r>
        <w:r>
          <w:rPr>
            <w:rStyle w:val="Czeindeksu"/>
            <w:rFonts w:cs="Calibri" w:cstheme="minorHAnsi"/>
          </w:rPr>
          <w:t>Ochrona powietrza</w:t>
        </w:r>
        <w:r>
          <w:rPr>
            <w:webHidden/>
          </w:rPr>
          <w:fldChar w:fldCharType="begin"/>
        </w:r>
        <w:r>
          <w:rPr>
            <w:webHidden/>
          </w:rPr>
          <w:instrText xml:space="preserve">PAGEREF _Toc118887452 \h</w:instrText>
        </w:r>
        <w:r>
          <w:rPr>
            <w:webHidden/>
          </w:rPr>
          <w:fldChar w:fldCharType="separate"/>
        </w:r>
        <w:r>
          <w:rPr>
            <w:rStyle w:val="Czeindeksu"/>
            <w:vanish w:val="false"/>
          </w:rPr>
          <w:tab/>
          <w:t>9</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3">
        <w:r>
          <w:rPr>
            <w:rStyle w:val="Czeindeksu"/>
            <w:rFonts w:cs="Calibri" w:cstheme="minorHAnsi"/>
          </w:rPr>
          <w:t>1.5</w:t>
        </w:r>
        <w:r>
          <w:rPr>
            <w:rStyle w:val="Czeindeksu"/>
            <w:rFonts w:eastAsia="" w:cs="" w:cstheme="minorBidi" w:eastAsiaTheme="minorEastAsia"/>
            <w:lang w:eastAsia="pl-PL"/>
          </w:rPr>
          <w:tab/>
        </w:r>
        <w:r>
          <w:rPr>
            <w:rStyle w:val="Czeindeksu"/>
            <w:rFonts w:cs="Calibri" w:cstheme="minorHAnsi"/>
          </w:rPr>
          <w:t>Zasoby naturalne</w:t>
        </w:r>
        <w:r>
          <w:rPr>
            <w:webHidden/>
          </w:rPr>
          <w:fldChar w:fldCharType="begin"/>
        </w:r>
        <w:r>
          <w:rPr>
            <w:webHidden/>
          </w:rPr>
          <w:instrText xml:space="preserve">PAGEREF _Toc118887453 \h</w:instrText>
        </w:r>
        <w:r>
          <w:rPr>
            <w:webHidden/>
          </w:rPr>
          <w:fldChar w:fldCharType="separate"/>
        </w:r>
        <w:r>
          <w:rPr>
            <w:rStyle w:val="Czeindeksu"/>
            <w:vanish w:val="false"/>
          </w:rPr>
          <w:tab/>
          <w:t>17</w:t>
        </w:r>
        <w:r>
          <w:rPr>
            <w:webHidden/>
          </w:rPr>
          <w:fldChar w:fldCharType="end"/>
        </w:r>
      </w:hyperlink>
    </w:p>
    <w:p>
      <w:pPr>
        <w:pStyle w:val="Spistreci2"/>
        <w:rPr>
          <w:rFonts w:ascii="Calibri" w:hAnsi="Calibri" w:eastAsia="" w:cs="" w:asciiTheme="minorHAnsi" w:cstheme="minorBidi" w:eastAsiaTheme="minorEastAsia" w:hAnsiTheme="minorHAnsi"/>
          <w:lang w:eastAsia="pl-PL"/>
        </w:rPr>
      </w:pPr>
      <w:hyperlink w:anchor="_Toc118887454">
        <w:r>
          <w:rPr>
            <w:rStyle w:val="Czeindeksu"/>
            <w:rFonts w:cs="Calibri" w:cstheme="minorHAnsi"/>
          </w:rPr>
          <w:t>1.6 Atrakcyjność turystyczna – walory, oferta i infrastruktura turystyczna</w:t>
        </w:r>
        <w:r>
          <w:rPr>
            <w:webHidden/>
          </w:rPr>
          <w:fldChar w:fldCharType="begin"/>
        </w:r>
        <w:r>
          <w:rPr>
            <w:webHidden/>
          </w:rPr>
          <w:instrText xml:space="preserve">PAGEREF _Toc118887454 \h</w:instrText>
        </w:r>
        <w:r>
          <w:rPr>
            <w:webHidden/>
          </w:rPr>
          <w:fldChar w:fldCharType="separate"/>
        </w:r>
        <w:r>
          <w:rPr>
            <w:rStyle w:val="Czeindeksu"/>
            <w:vanish w:val="false"/>
          </w:rPr>
          <w:tab/>
          <w:t>26</w:t>
        </w:r>
        <w:r>
          <w:rPr>
            <w:webHidden/>
          </w:rPr>
          <w:fldChar w:fldCharType="end"/>
        </w:r>
      </w:hyperlink>
    </w:p>
    <w:p>
      <w:pPr>
        <w:pStyle w:val="Spistreci1"/>
        <w:rPr>
          <w:rFonts w:ascii="Calibri" w:hAnsi="Calibri" w:eastAsia="" w:cs="" w:asciiTheme="minorHAnsi" w:cstheme="minorBidi" w:eastAsiaTheme="minorEastAsia" w:hAnsiTheme="minorHAnsi"/>
          <w:lang w:eastAsia="pl-PL"/>
        </w:rPr>
      </w:pPr>
      <w:hyperlink w:anchor="_Toc118887455">
        <w:r>
          <w:rPr>
            <w:rStyle w:val="Czeindeksu"/>
            <w:rFonts w:cs="Calibri" w:cstheme="minorHAnsi"/>
          </w:rPr>
          <w:t>2.</w:t>
        </w:r>
        <w:r>
          <w:rPr>
            <w:rStyle w:val="Czeindeksu"/>
            <w:rFonts w:eastAsia="" w:cs="" w:cstheme="minorBidi" w:eastAsiaTheme="minorEastAsia"/>
            <w:lang w:eastAsia="pl-PL"/>
          </w:rPr>
          <w:tab/>
        </w:r>
        <w:r>
          <w:rPr>
            <w:rStyle w:val="Czeindeksu"/>
            <w:rFonts w:cs="Calibri" w:cstheme="minorHAnsi"/>
          </w:rPr>
          <w:t>Diagnoza sytuacji przestrzennej</w:t>
        </w:r>
        <w:r>
          <w:rPr>
            <w:webHidden/>
          </w:rPr>
          <w:fldChar w:fldCharType="begin"/>
        </w:r>
        <w:r>
          <w:rPr>
            <w:webHidden/>
          </w:rPr>
          <w:instrText xml:space="preserve">PAGEREF _Toc118887455 \h</w:instrText>
        </w:r>
        <w:r>
          <w:rPr>
            <w:webHidden/>
          </w:rPr>
          <w:fldChar w:fldCharType="separate"/>
        </w:r>
        <w:r>
          <w:rPr>
            <w:rStyle w:val="Czeindeksu"/>
            <w:vanish w:val="false"/>
          </w:rPr>
          <w:tab/>
          <w:t>30</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6">
        <w:r>
          <w:rPr>
            <w:rStyle w:val="Czeindeksu"/>
            <w:rFonts w:cs="Calibri" w:cstheme="minorHAnsi"/>
          </w:rPr>
          <w:t>2.1</w:t>
        </w:r>
        <w:r>
          <w:rPr>
            <w:rStyle w:val="Czeindeksu"/>
            <w:rFonts w:eastAsia="" w:cs="" w:cstheme="minorBidi" w:eastAsiaTheme="minorEastAsia"/>
            <w:lang w:eastAsia="pl-PL"/>
          </w:rPr>
          <w:tab/>
        </w:r>
        <w:r>
          <w:rPr>
            <w:rStyle w:val="Czeindeksu"/>
            <w:rFonts w:cs="Calibri" w:cstheme="minorHAnsi"/>
          </w:rPr>
          <w:t>Położenie</w:t>
        </w:r>
        <w:r>
          <w:rPr>
            <w:webHidden/>
          </w:rPr>
          <w:fldChar w:fldCharType="begin"/>
        </w:r>
        <w:r>
          <w:rPr>
            <w:webHidden/>
          </w:rPr>
          <w:instrText xml:space="preserve">PAGEREF _Toc118887456 \h</w:instrText>
        </w:r>
        <w:r>
          <w:rPr>
            <w:webHidden/>
          </w:rPr>
          <w:fldChar w:fldCharType="separate"/>
        </w:r>
        <w:r>
          <w:rPr>
            <w:rStyle w:val="Czeindeksu"/>
            <w:vanish w:val="false"/>
          </w:rPr>
          <w:tab/>
          <w:t>30</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7">
        <w:r>
          <w:rPr>
            <w:rStyle w:val="Czeindeksu"/>
            <w:rFonts w:cs="Calibri" w:cstheme="minorHAnsi"/>
          </w:rPr>
          <w:t>2.2</w:t>
        </w:r>
        <w:r>
          <w:rPr>
            <w:rStyle w:val="Czeindeksu"/>
            <w:rFonts w:eastAsia="" w:cs="" w:cstheme="minorBidi" w:eastAsiaTheme="minorEastAsia"/>
            <w:lang w:eastAsia="pl-PL"/>
          </w:rPr>
          <w:tab/>
        </w:r>
        <w:r>
          <w:rPr>
            <w:rStyle w:val="Czeindeksu"/>
            <w:rFonts w:cs="Calibri" w:cstheme="minorHAnsi"/>
          </w:rPr>
          <w:t>Dostęp do internetu oraz usługi świadczone elektroniczne</w:t>
        </w:r>
        <w:r>
          <w:rPr>
            <w:webHidden/>
          </w:rPr>
          <w:fldChar w:fldCharType="begin"/>
        </w:r>
        <w:r>
          <w:rPr>
            <w:webHidden/>
          </w:rPr>
          <w:instrText xml:space="preserve">PAGEREF _Toc118887457 \h</w:instrText>
        </w:r>
        <w:r>
          <w:rPr>
            <w:webHidden/>
          </w:rPr>
          <w:fldChar w:fldCharType="separate"/>
        </w:r>
        <w:r>
          <w:rPr>
            <w:rStyle w:val="Czeindeksu"/>
            <w:vanish w:val="false"/>
          </w:rPr>
          <w:tab/>
          <w:t>32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8">
        <w:r>
          <w:rPr>
            <w:rStyle w:val="Czeindeksu"/>
            <w:rFonts w:cs="Calibri" w:cstheme="minorHAnsi"/>
          </w:rPr>
          <w:t>2.3</w:t>
        </w:r>
        <w:r>
          <w:rPr>
            <w:rStyle w:val="Czeindeksu"/>
            <w:rFonts w:eastAsia="" w:cs="" w:cstheme="minorBidi" w:eastAsiaTheme="minorEastAsia"/>
            <w:lang w:eastAsia="pl-PL"/>
          </w:rPr>
          <w:tab/>
        </w:r>
        <w:r>
          <w:rPr>
            <w:rStyle w:val="Czeindeksu"/>
            <w:rFonts w:cs="Calibri" w:cstheme="minorHAnsi"/>
          </w:rPr>
          <w:t>Infrastruktura drogowa</w:t>
        </w:r>
        <w:r>
          <w:rPr>
            <w:webHidden/>
          </w:rPr>
          <w:fldChar w:fldCharType="begin"/>
        </w:r>
        <w:r>
          <w:rPr>
            <w:webHidden/>
          </w:rPr>
          <w:instrText xml:space="preserve">PAGEREF _Toc118887458 \h</w:instrText>
        </w:r>
        <w:r>
          <w:rPr>
            <w:webHidden/>
          </w:rPr>
          <w:fldChar w:fldCharType="separate"/>
        </w:r>
        <w:r>
          <w:rPr>
            <w:rStyle w:val="Czeindeksu"/>
            <w:vanish w:val="false"/>
          </w:rPr>
          <w:tab/>
          <w:t>32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59">
        <w:r>
          <w:rPr>
            <w:rStyle w:val="Czeindeksu"/>
            <w:rFonts w:cs="Calibri" w:cstheme="minorHAnsi"/>
          </w:rPr>
          <w:t>2.4</w:t>
        </w:r>
        <w:r>
          <w:rPr>
            <w:rStyle w:val="Czeindeksu"/>
            <w:rFonts w:eastAsia="" w:cs="" w:cstheme="minorBidi" w:eastAsiaTheme="minorEastAsia"/>
            <w:lang w:eastAsia="pl-PL"/>
          </w:rPr>
          <w:tab/>
        </w:r>
        <w:r>
          <w:rPr>
            <w:rStyle w:val="Czeindeksu"/>
            <w:rFonts w:cs="Calibri" w:cstheme="minorHAnsi"/>
          </w:rPr>
          <w:t>Infrastruktura wodno-kanalizacyjna</w:t>
        </w:r>
        <w:r>
          <w:rPr>
            <w:webHidden/>
          </w:rPr>
          <w:fldChar w:fldCharType="begin"/>
        </w:r>
        <w:r>
          <w:rPr>
            <w:webHidden/>
          </w:rPr>
          <w:instrText xml:space="preserve">PAGEREF _Toc118887459 \h</w:instrText>
        </w:r>
        <w:r>
          <w:rPr>
            <w:webHidden/>
          </w:rPr>
          <w:fldChar w:fldCharType="separate"/>
        </w:r>
        <w:r>
          <w:rPr>
            <w:rStyle w:val="Czeindeksu"/>
            <w:vanish w:val="false"/>
          </w:rPr>
          <w:tab/>
          <w:t>33</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0">
        <w:r>
          <w:rPr>
            <w:rStyle w:val="Czeindeksu"/>
            <w:rFonts w:cs="Calibri" w:cstheme="minorHAnsi"/>
          </w:rPr>
          <w:t>2.5</w:t>
        </w:r>
        <w:r>
          <w:rPr>
            <w:rStyle w:val="Czeindeksu"/>
            <w:rFonts w:eastAsia="" w:cs="" w:cstheme="minorBidi" w:eastAsiaTheme="minorEastAsia"/>
            <w:lang w:eastAsia="pl-PL"/>
          </w:rPr>
          <w:tab/>
        </w:r>
        <w:r>
          <w:rPr>
            <w:rStyle w:val="Czeindeksu"/>
            <w:rFonts w:cs="Calibri" w:cstheme="minorHAnsi"/>
          </w:rPr>
          <w:t>Gospodarka odpadami</w:t>
        </w:r>
        <w:r>
          <w:rPr>
            <w:webHidden/>
          </w:rPr>
          <w:fldChar w:fldCharType="begin"/>
        </w:r>
        <w:r>
          <w:rPr>
            <w:webHidden/>
          </w:rPr>
          <w:instrText xml:space="preserve">PAGEREF _Toc118887460 \h</w:instrText>
        </w:r>
        <w:r>
          <w:rPr>
            <w:webHidden/>
          </w:rPr>
          <w:fldChar w:fldCharType="separate"/>
        </w:r>
        <w:r>
          <w:rPr>
            <w:rStyle w:val="Czeindeksu"/>
            <w:vanish w:val="false"/>
          </w:rPr>
          <w:tab/>
          <w:t>36</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1">
        <w:r>
          <w:rPr>
            <w:rStyle w:val="Czeindeksu"/>
            <w:rFonts w:cs="Calibri" w:cstheme="minorHAnsi"/>
          </w:rPr>
          <w:t>2.6</w:t>
        </w:r>
        <w:r>
          <w:rPr>
            <w:rStyle w:val="Czeindeksu"/>
            <w:rFonts w:eastAsia="" w:cs="" w:cstheme="minorBidi" w:eastAsiaTheme="minorEastAsia"/>
            <w:lang w:eastAsia="pl-PL"/>
          </w:rPr>
          <w:tab/>
        </w:r>
        <w:r>
          <w:rPr>
            <w:rStyle w:val="Czeindeksu"/>
            <w:rFonts w:cs="Calibri" w:cstheme="minorHAnsi"/>
          </w:rPr>
          <w:t>Gazownictwo</w:t>
        </w:r>
        <w:r>
          <w:rPr>
            <w:webHidden/>
          </w:rPr>
          <w:fldChar w:fldCharType="begin"/>
        </w:r>
        <w:r>
          <w:rPr>
            <w:webHidden/>
          </w:rPr>
          <w:instrText xml:space="preserve">PAGEREF _Toc118887461 \h</w:instrText>
        </w:r>
        <w:r>
          <w:rPr>
            <w:webHidden/>
          </w:rPr>
          <w:fldChar w:fldCharType="separate"/>
        </w:r>
        <w:r>
          <w:rPr>
            <w:rStyle w:val="Czeindeksu"/>
            <w:vanish w:val="false"/>
          </w:rPr>
          <w:tab/>
          <w:t>38</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2">
        <w:r>
          <w:rPr>
            <w:rStyle w:val="Czeindeksu"/>
            <w:rFonts w:cs="Calibri" w:cstheme="minorHAnsi"/>
          </w:rPr>
          <w:t>2.7</w:t>
        </w:r>
        <w:r>
          <w:rPr>
            <w:rStyle w:val="Czeindeksu"/>
            <w:rFonts w:eastAsia="" w:cs="" w:cstheme="minorBidi" w:eastAsiaTheme="minorEastAsia"/>
            <w:lang w:eastAsia="pl-PL"/>
          </w:rPr>
          <w:tab/>
        </w:r>
        <w:r>
          <w:rPr>
            <w:rStyle w:val="Czeindeksu"/>
            <w:rFonts w:cs="Calibri" w:cstheme="minorHAnsi"/>
          </w:rPr>
          <w:t>Energetyka i telekomunikacja</w:t>
        </w:r>
        <w:r>
          <w:rPr>
            <w:webHidden/>
          </w:rPr>
          <w:fldChar w:fldCharType="begin"/>
        </w:r>
        <w:r>
          <w:rPr>
            <w:webHidden/>
          </w:rPr>
          <w:instrText xml:space="preserve">PAGEREF _Toc118887462 \h</w:instrText>
        </w:r>
        <w:r>
          <w:rPr>
            <w:webHidden/>
          </w:rPr>
          <w:fldChar w:fldCharType="separate"/>
        </w:r>
        <w:r>
          <w:rPr>
            <w:rStyle w:val="Czeindeksu"/>
            <w:vanish w:val="false"/>
          </w:rPr>
          <w:tab/>
          <w:t>38</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3">
        <w:r>
          <w:rPr>
            <w:rStyle w:val="Czeindeksu"/>
            <w:rFonts w:cs="Calibri" w:cstheme="minorHAnsi"/>
          </w:rPr>
          <w:t>2.8</w:t>
        </w:r>
        <w:r>
          <w:rPr>
            <w:rStyle w:val="Czeindeksu"/>
            <w:rFonts w:eastAsia="" w:cs="" w:cstheme="minorBidi" w:eastAsiaTheme="minorEastAsia"/>
            <w:lang w:eastAsia="pl-PL"/>
          </w:rPr>
          <w:tab/>
        </w:r>
        <w:r>
          <w:rPr>
            <w:rStyle w:val="Czeindeksu"/>
            <w:rFonts w:cs="Calibri" w:cstheme="minorHAnsi"/>
          </w:rPr>
          <w:t>Infrastruktura sportowo-rekreacyjna</w:t>
        </w:r>
        <w:r>
          <w:rPr>
            <w:webHidden/>
          </w:rPr>
          <w:fldChar w:fldCharType="begin"/>
        </w:r>
        <w:r>
          <w:rPr>
            <w:webHidden/>
          </w:rPr>
          <w:instrText xml:space="preserve">PAGEREF _Toc118887463 \h</w:instrText>
        </w:r>
        <w:r>
          <w:rPr>
            <w:webHidden/>
          </w:rPr>
          <w:fldChar w:fldCharType="separate"/>
        </w:r>
        <w:r>
          <w:rPr>
            <w:rStyle w:val="Czeindeksu"/>
            <w:vanish w:val="false"/>
          </w:rPr>
          <w:tab/>
          <w:t>39</w:t>
        </w:r>
        <w:r>
          <w:rPr>
            <w:webHidden/>
          </w:rPr>
          <w:fldChar w:fldCharType="end"/>
        </w:r>
      </w:hyperlink>
    </w:p>
    <w:p>
      <w:pPr>
        <w:pStyle w:val="Spistreci1"/>
        <w:rPr>
          <w:rFonts w:ascii="Calibri" w:hAnsi="Calibri" w:eastAsia="" w:cs="" w:asciiTheme="minorHAnsi" w:cstheme="minorBidi" w:eastAsiaTheme="minorEastAsia" w:hAnsiTheme="minorHAnsi"/>
          <w:lang w:eastAsia="pl-PL"/>
        </w:rPr>
      </w:pPr>
      <w:hyperlink w:anchor="_Toc118887464">
        <w:r>
          <w:rPr>
            <w:rStyle w:val="Czeindeksu"/>
            <w:rFonts w:cs="Calibri" w:cstheme="minorHAnsi"/>
          </w:rPr>
          <w:t>3.</w:t>
        </w:r>
        <w:r>
          <w:rPr>
            <w:rStyle w:val="Czeindeksu"/>
            <w:rFonts w:eastAsia="" w:cs="" w:cstheme="minorBidi" w:eastAsiaTheme="minorEastAsia"/>
            <w:lang w:eastAsia="pl-PL"/>
          </w:rPr>
          <w:tab/>
        </w:r>
        <w:r>
          <w:rPr>
            <w:rStyle w:val="Czeindeksu"/>
            <w:rFonts w:cs="Calibri" w:cstheme="minorHAnsi"/>
          </w:rPr>
          <w:t>Diagnoza sytuacji społecznej</w:t>
        </w:r>
        <w:r>
          <w:rPr>
            <w:webHidden/>
          </w:rPr>
          <w:fldChar w:fldCharType="begin"/>
        </w:r>
        <w:r>
          <w:rPr>
            <w:webHidden/>
          </w:rPr>
          <w:instrText xml:space="preserve">PAGEREF _Toc118887464 \h</w:instrText>
        </w:r>
        <w:r>
          <w:rPr>
            <w:webHidden/>
          </w:rPr>
          <w:fldChar w:fldCharType="separate"/>
        </w:r>
        <w:r>
          <w:rPr>
            <w:rStyle w:val="Czeindeksu"/>
            <w:vanish w:val="false"/>
          </w:rPr>
          <w:tab/>
          <w:t>42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5">
        <w:r>
          <w:rPr>
            <w:rStyle w:val="Czeindeksu"/>
            <w:rFonts w:cs="Calibri" w:cstheme="minorHAnsi"/>
          </w:rPr>
          <w:t>3.1</w:t>
        </w:r>
        <w:r>
          <w:rPr>
            <w:rStyle w:val="Czeindeksu"/>
            <w:rFonts w:eastAsia="" w:cs="" w:cstheme="minorBidi" w:eastAsiaTheme="minorEastAsia"/>
            <w:lang w:eastAsia="pl-PL"/>
          </w:rPr>
          <w:tab/>
        </w:r>
        <w:r>
          <w:rPr>
            <w:rStyle w:val="Czeindeksu"/>
            <w:rFonts w:cs="Calibri" w:cstheme="minorHAnsi"/>
          </w:rPr>
          <w:t>Ludność i procesy demograficzne</w:t>
        </w:r>
        <w:r>
          <w:rPr>
            <w:webHidden/>
          </w:rPr>
          <w:fldChar w:fldCharType="begin"/>
        </w:r>
        <w:r>
          <w:rPr>
            <w:webHidden/>
          </w:rPr>
          <w:instrText xml:space="preserve">PAGEREF _Toc118887465 \h</w:instrText>
        </w:r>
        <w:r>
          <w:rPr>
            <w:webHidden/>
          </w:rPr>
          <w:fldChar w:fldCharType="separate"/>
        </w:r>
        <w:r>
          <w:rPr>
            <w:rStyle w:val="Czeindeksu"/>
            <w:vanish w:val="false"/>
          </w:rPr>
          <w:tab/>
          <w:t>42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6">
        <w:r>
          <w:rPr>
            <w:rStyle w:val="Czeindeksu"/>
            <w:rFonts w:cs="Calibri" w:cstheme="minorHAnsi"/>
          </w:rPr>
          <w:t>3.2</w:t>
        </w:r>
        <w:r>
          <w:rPr>
            <w:rStyle w:val="Czeindeksu"/>
            <w:rFonts w:eastAsia="" w:cs="" w:cstheme="minorBidi" w:eastAsiaTheme="minorEastAsia"/>
            <w:lang w:eastAsia="pl-PL"/>
          </w:rPr>
          <w:tab/>
        </w:r>
        <w:r>
          <w:rPr>
            <w:rStyle w:val="Czeindeksu"/>
            <w:rFonts w:cs="Calibri" w:cstheme="minorHAnsi"/>
          </w:rPr>
          <w:t>Pomoc społeczna</w:t>
        </w:r>
        <w:r>
          <w:rPr>
            <w:webHidden/>
          </w:rPr>
          <w:fldChar w:fldCharType="begin"/>
        </w:r>
        <w:r>
          <w:rPr>
            <w:webHidden/>
          </w:rPr>
          <w:instrText xml:space="preserve">PAGEREF _Toc118887466 \h</w:instrText>
        </w:r>
        <w:r>
          <w:rPr>
            <w:webHidden/>
          </w:rPr>
          <w:fldChar w:fldCharType="separate"/>
        </w:r>
        <w:r>
          <w:rPr>
            <w:rStyle w:val="Czeindeksu"/>
            <w:vanish w:val="false"/>
          </w:rPr>
          <w:tab/>
          <w:t>50</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7">
        <w:r>
          <w:rPr>
            <w:rStyle w:val="Czeindeksu"/>
            <w:rFonts w:cs="Calibri" w:cstheme="minorHAnsi"/>
          </w:rPr>
          <w:t>3.3</w:t>
        </w:r>
        <w:r>
          <w:rPr>
            <w:rStyle w:val="Czeindeksu"/>
            <w:rFonts w:eastAsia="" w:cs="" w:cstheme="minorBidi" w:eastAsiaTheme="minorEastAsia"/>
            <w:lang w:eastAsia="pl-PL"/>
          </w:rPr>
          <w:tab/>
        </w:r>
        <w:r>
          <w:rPr>
            <w:rStyle w:val="Czeindeksu"/>
            <w:rFonts w:cs="Calibri" w:cstheme="minorHAnsi"/>
          </w:rPr>
          <w:t>Ochrona zdrowia</w:t>
        </w:r>
        <w:r>
          <w:rPr>
            <w:webHidden/>
          </w:rPr>
          <w:fldChar w:fldCharType="begin"/>
        </w:r>
        <w:r>
          <w:rPr>
            <w:webHidden/>
          </w:rPr>
          <w:instrText xml:space="preserve">PAGEREF _Toc118887467 \h</w:instrText>
        </w:r>
        <w:r>
          <w:rPr>
            <w:webHidden/>
          </w:rPr>
          <w:fldChar w:fldCharType="separate"/>
        </w:r>
        <w:r>
          <w:rPr>
            <w:rStyle w:val="Czeindeksu"/>
            <w:vanish w:val="false"/>
          </w:rPr>
          <w:tab/>
          <w:t>51</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8">
        <w:r>
          <w:rPr>
            <w:rStyle w:val="Czeindeksu"/>
            <w:rFonts w:cs="Calibri" w:cstheme="minorHAnsi"/>
          </w:rPr>
          <w:t>3.4</w:t>
        </w:r>
        <w:r>
          <w:rPr>
            <w:rStyle w:val="Czeindeksu"/>
            <w:rFonts w:eastAsia="" w:cs="" w:cstheme="minorBidi" w:eastAsiaTheme="minorEastAsia"/>
            <w:lang w:eastAsia="pl-PL"/>
          </w:rPr>
          <w:tab/>
        </w:r>
        <w:r>
          <w:rPr>
            <w:rStyle w:val="Czeindeksu"/>
            <w:rFonts w:cs="Calibri" w:cstheme="minorHAnsi"/>
          </w:rPr>
          <w:t>Edukacja i wychowanie</w:t>
        </w:r>
        <w:r>
          <w:rPr>
            <w:webHidden/>
          </w:rPr>
          <w:fldChar w:fldCharType="begin"/>
        </w:r>
        <w:r>
          <w:rPr>
            <w:webHidden/>
          </w:rPr>
          <w:instrText xml:space="preserve">PAGEREF _Toc118887468 \h</w:instrText>
        </w:r>
        <w:r>
          <w:rPr>
            <w:webHidden/>
          </w:rPr>
          <w:fldChar w:fldCharType="separate"/>
        </w:r>
        <w:r>
          <w:rPr>
            <w:rStyle w:val="Czeindeksu"/>
            <w:vanish w:val="false"/>
          </w:rPr>
          <w:tab/>
          <w:t>52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69">
        <w:r>
          <w:rPr>
            <w:rStyle w:val="Czeindeksu"/>
            <w:rFonts w:cs="Calibri" w:cstheme="minorHAnsi"/>
          </w:rPr>
          <w:t>3.5</w:t>
        </w:r>
        <w:r>
          <w:rPr>
            <w:rStyle w:val="Czeindeksu"/>
            <w:rFonts w:eastAsia="" w:cs="" w:cstheme="minorBidi" w:eastAsiaTheme="minorEastAsia"/>
            <w:lang w:eastAsia="pl-PL"/>
          </w:rPr>
          <w:tab/>
        </w:r>
        <w:r>
          <w:rPr>
            <w:rStyle w:val="Czeindeksu"/>
            <w:rFonts w:cs="Calibri" w:cstheme="minorHAnsi"/>
          </w:rPr>
          <w:t>Bezpieczeństwo publiczne</w:t>
        </w:r>
        <w:r>
          <w:rPr>
            <w:webHidden/>
          </w:rPr>
          <w:fldChar w:fldCharType="begin"/>
        </w:r>
        <w:r>
          <w:rPr>
            <w:webHidden/>
          </w:rPr>
          <w:instrText xml:space="preserve">PAGEREF _Toc118887469 \h</w:instrText>
        </w:r>
        <w:r>
          <w:rPr>
            <w:webHidden/>
          </w:rPr>
          <w:fldChar w:fldCharType="separate"/>
        </w:r>
        <w:r>
          <w:rPr>
            <w:rStyle w:val="Czeindeksu"/>
            <w:vanish w:val="false"/>
          </w:rPr>
          <w:tab/>
          <w:t>65</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70">
        <w:r>
          <w:rPr>
            <w:rStyle w:val="Czeindeksu"/>
            <w:rFonts w:cs="Calibri" w:cstheme="minorHAnsi"/>
          </w:rPr>
          <w:t>3.6</w:t>
        </w:r>
        <w:r>
          <w:rPr>
            <w:rStyle w:val="Czeindeksu"/>
            <w:rFonts w:eastAsia="" w:cs="" w:cstheme="minorBidi" w:eastAsiaTheme="minorEastAsia"/>
            <w:lang w:eastAsia="pl-PL"/>
          </w:rPr>
          <w:tab/>
        </w:r>
        <w:r>
          <w:rPr>
            <w:rStyle w:val="Czeindeksu"/>
            <w:rFonts w:cs="Calibri" w:cstheme="minorHAnsi"/>
          </w:rPr>
          <w:t>Instytucje kultury i ich działalność</w:t>
        </w:r>
        <w:r>
          <w:rPr>
            <w:webHidden/>
          </w:rPr>
          <w:fldChar w:fldCharType="begin"/>
        </w:r>
        <w:r>
          <w:rPr>
            <w:webHidden/>
          </w:rPr>
          <w:instrText xml:space="preserve">PAGEREF _Toc118887470 \h</w:instrText>
        </w:r>
        <w:r>
          <w:rPr>
            <w:webHidden/>
          </w:rPr>
          <w:fldChar w:fldCharType="separate"/>
        </w:r>
        <w:r>
          <w:rPr>
            <w:rStyle w:val="Czeindeksu"/>
            <w:vanish w:val="false"/>
          </w:rPr>
          <w:tab/>
          <w:t>67</w:t>
        </w:r>
        <w:r>
          <w:rPr>
            <w:webHidden/>
          </w:rPr>
          <w:fldChar w:fldCharType="end"/>
        </w:r>
      </w:hyperlink>
    </w:p>
    <w:p>
      <w:pPr>
        <w:pStyle w:val="Spistreci1"/>
        <w:rPr>
          <w:rFonts w:ascii="Calibri" w:hAnsi="Calibri" w:eastAsia="" w:cs="" w:asciiTheme="minorHAnsi" w:cstheme="minorBidi" w:eastAsiaTheme="minorEastAsia" w:hAnsiTheme="minorHAnsi"/>
          <w:lang w:eastAsia="pl-PL"/>
        </w:rPr>
      </w:pPr>
      <w:hyperlink w:anchor="_Toc118887471">
        <w:r>
          <w:rPr>
            <w:rStyle w:val="Czeindeksu"/>
            <w:rFonts w:cs="Calibri" w:cstheme="minorHAnsi"/>
          </w:rPr>
          <w:t>4.</w:t>
        </w:r>
        <w:r>
          <w:rPr>
            <w:rStyle w:val="Czeindeksu"/>
            <w:rFonts w:eastAsia="" w:cs="" w:cstheme="minorBidi" w:eastAsiaTheme="minorEastAsia"/>
            <w:lang w:eastAsia="pl-PL"/>
          </w:rPr>
          <w:tab/>
        </w:r>
        <w:r>
          <w:rPr>
            <w:rStyle w:val="Czeindeksu"/>
            <w:rFonts w:cs="Calibri" w:cstheme="minorHAnsi"/>
          </w:rPr>
          <w:t>Diagnoza sytuacji gospodarczej</w:t>
        </w:r>
        <w:r>
          <w:rPr>
            <w:webHidden/>
          </w:rPr>
          <w:fldChar w:fldCharType="begin"/>
        </w:r>
        <w:r>
          <w:rPr>
            <w:webHidden/>
          </w:rPr>
          <w:instrText xml:space="preserve">PAGEREF _Toc118887471 \h</w:instrText>
        </w:r>
        <w:r>
          <w:rPr>
            <w:webHidden/>
          </w:rPr>
          <w:fldChar w:fldCharType="separate"/>
        </w:r>
        <w:r>
          <w:rPr>
            <w:rStyle w:val="Czeindeksu"/>
            <w:vanish w:val="false"/>
          </w:rPr>
          <w:tab/>
          <w:t>72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72">
        <w:r>
          <w:rPr>
            <w:rStyle w:val="Czeindeksu"/>
            <w:rFonts w:cs="Calibri" w:cstheme="minorHAnsi"/>
          </w:rPr>
          <w:t>4.1</w:t>
        </w:r>
        <w:r>
          <w:rPr>
            <w:rStyle w:val="Czeindeksu"/>
            <w:rFonts w:eastAsia="" w:cs="" w:cstheme="minorBidi" w:eastAsiaTheme="minorEastAsia"/>
            <w:lang w:eastAsia="pl-PL"/>
          </w:rPr>
          <w:tab/>
        </w:r>
        <w:r>
          <w:rPr>
            <w:rStyle w:val="Czeindeksu"/>
            <w:rFonts w:cs="Calibri" w:cstheme="minorHAnsi"/>
          </w:rPr>
          <w:t>Gospodarka</w:t>
        </w:r>
        <w:r>
          <w:rPr>
            <w:webHidden/>
          </w:rPr>
          <w:fldChar w:fldCharType="begin"/>
        </w:r>
        <w:r>
          <w:rPr>
            <w:webHidden/>
          </w:rPr>
          <w:instrText xml:space="preserve">PAGEREF _Toc118887472 \h</w:instrText>
        </w:r>
        <w:r>
          <w:rPr>
            <w:webHidden/>
          </w:rPr>
          <w:fldChar w:fldCharType="separate"/>
        </w:r>
        <w:r>
          <w:rPr>
            <w:rStyle w:val="Czeindeksu"/>
            <w:vanish w:val="false"/>
          </w:rPr>
          <w:tab/>
          <w:t>72</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73">
        <w:r>
          <w:rPr>
            <w:rStyle w:val="Czeindeksu"/>
            <w:rFonts w:cs="Calibri" w:cstheme="minorHAnsi"/>
          </w:rPr>
          <w:t>4.2</w:t>
        </w:r>
        <w:r>
          <w:rPr>
            <w:rStyle w:val="Czeindeksu"/>
            <w:rFonts w:eastAsia="" w:cs="" w:cstheme="minorBidi" w:eastAsiaTheme="minorEastAsia"/>
            <w:lang w:eastAsia="pl-PL"/>
          </w:rPr>
          <w:tab/>
        </w:r>
        <w:r>
          <w:rPr>
            <w:rStyle w:val="Czeindeksu"/>
            <w:rFonts w:cs="Calibri" w:cstheme="minorHAnsi"/>
          </w:rPr>
          <w:t>Gospodarka mieszkaniowa</w:t>
        </w:r>
        <w:r>
          <w:rPr>
            <w:webHidden/>
          </w:rPr>
          <w:fldChar w:fldCharType="begin"/>
        </w:r>
        <w:r>
          <w:rPr>
            <w:webHidden/>
          </w:rPr>
          <w:instrText xml:space="preserve">PAGEREF _Toc118887473 \h</w:instrText>
        </w:r>
        <w:r>
          <w:rPr>
            <w:webHidden/>
          </w:rPr>
          <w:fldChar w:fldCharType="separate"/>
        </w:r>
        <w:r>
          <w:rPr>
            <w:rStyle w:val="Czeindeksu"/>
            <w:vanish w:val="false"/>
          </w:rPr>
          <w:tab/>
          <w:t>74</w:t>
        </w:r>
        <w:r>
          <w:rPr>
            <w:webHidden/>
          </w:rPr>
          <w:fldChar w:fldCharType="end"/>
        </w:r>
      </w:hyperlink>
    </w:p>
    <w:p>
      <w:pPr>
        <w:pStyle w:val="Spistreci2"/>
        <w:tabs>
          <w:tab w:val="left" w:pos="880" w:leader="none"/>
          <w:tab w:val="right" w:pos="9060" w:leader="dot"/>
        </w:tabs>
        <w:rPr>
          <w:rFonts w:ascii="Calibri" w:hAnsi="Calibri" w:eastAsia="" w:cs="" w:asciiTheme="minorHAnsi" w:cstheme="minorBidi" w:eastAsiaTheme="minorEastAsia" w:hAnsiTheme="minorHAnsi"/>
          <w:lang w:eastAsia="pl-PL"/>
        </w:rPr>
      </w:pPr>
      <w:hyperlink w:anchor="_Toc118887474">
        <w:r>
          <w:rPr>
            <w:rStyle w:val="Czeindeksu"/>
            <w:rFonts w:cs="Calibri" w:cstheme="minorHAnsi"/>
          </w:rPr>
          <w:t>4.3</w:t>
        </w:r>
        <w:r>
          <w:rPr>
            <w:rStyle w:val="Czeindeksu"/>
            <w:rFonts w:eastAsia="" w:cs="" w:cstheme="minorBidi" w:eastAsiaTheme="minorEastAsia"/>
            <w:lang w:eastAsia="pl-PL"/>
          </w:rPr>
          <w:tab/>
        </w:r>
        <w:r>
          <w:rPr>
            <w:rStyle w:val="Czeindeksu"/>
            <w:rFonts w:cs="Calibri" w:cstheme="minorHAnsi"/>
          </w:rPr>
          <w:t>Rynek pracy</w:t>
        </w:r>
        <w:r>
          <w:rPr>
            <w:webHidden/>
          </w:rPr>
          <w:fldChar w:fldCharType="begin"/>
        </w:r>
        <w:r>
          <w:rPr>
            <w:webHidden/>
          </w:rPr>
          <w:instrText xml:space="preserve">PAGEREF _Toc118887474 \h</w:instrText>
        </w:r>
        <w:r>
          <w:rPr>
            <w:webHidden/>
          </w:rPr>
          <w:fldChar w:fldCharType="separate"/>
        </w:r>
        <w:r>
          <w:rPr>
            <w:rStyle w:val="Czeindeksu"/>
            <w:vanish w:val="false"/>
          </w:rPr>
          <w:tab/>
          <w:t>75</w:t>
        </w:r>
        <w:r>
          <w:rPr>
            <w:webHidden/>
          </w:rPr>
          <w:fldChar w:fldCharType="end"/>
        </w:r>
      </w:hyperlink>
    </w:p>
    <w:p>
      <w:pPr>
        <w:pStyle w:val="Spistreci1"/>
        <w:rPr>
          <w:rFonts w:ascii="Calibri" w:hAnsi="Calibri" w:eastAsia="" w:cs="" w:asciiTheme="minorHAnsi" w:cstheme="minorBidi" w:eastAsiaTheme="minorEastAsia" w:hAnsiTheme="minorHAnsi"/>
          <w:lang w:eastAsia="pl-PL"/>
        </w:rPr>
      </w:pPr>
      <w:hyperlink w:anchor="_Toc118887475">
        <w:r>
          <w:rPr>
            <w:rStyle w:val="Czeindeksu"/>
            <w:rFonts w:cs="Calibri" w:cstheme="minorHAnsi"/>
          </w:rPr>
          <w:t>5.</w:t>
        </w:r>
        <w:r>
          <w:rPr>
            <w:rStyle w:val="Czeindeksu"/>
            <w:rFonts w:eastAsia="" w:cs="" w:cstheme="minorBidi" w:eastAsiaTheme="minorEastAsia"/>
            <w:lang w:eastAsia="pl-PL"/>
          </w:rPr>
          <w:tab/>
        </w:r>
        <w:r>
          <w:rPr>
            <w:rStyle w:val="Czeindeksu"/>
            <w:rFonts w:cs="Calibri" w:cstheme="minorHAnsi"/>
          </w:rPr>
          <w:t>Finanse samorządowe</w:t>
        </w:r>
        <w:r>
          <w:rPr>
            <w:webHidden/>
          </w:rPr>
          <w:fldChar w:fldCharType="begin"/>
        </w:r>
        <w:r>
          <w:rPr>
            <w:webHidden/>
          </w:rPr>
          <w:instrText xml:space="preserve">PAGEREF _Toc118887475 \h</w:instrText>
        </w:r>
        <w:r>
          <w:rPr>
            <w:webHidden/>
          </w:rPr>
          <w:fldChar w:fldCharType="separate"/>
        </w:r>
        <w:r>
          <w:rPr>
            <w:rStyle w:val="Czeindeksu"/>
            <w:vanish w:val="false"/>
          </w:rPr>
          <w:tab/>
          <w:t>83</w:t>
        </w:r>
        <w:r>
          <w:rPr>
            <w:webHidden/>
          </w:rPr>
          <w:fldChar w:fldCharType="end"/>
        </w:r>
      </w:hyperlink>
    </w:p>
    <w:p>
      <w:pPr>
        <w:pStyle w:val="Spistreci2"/>
        <w:rPr>
          <w:rFonts w:ascii="Calibri" w:hAnsi="Calibri" w:eastAsia="" w:cs="" w:asciiTheme="minorHAnsi" w:cstheme="minorBidi" w:eastAsiaTheme="minorEastAsia" w:hAnsiTheme="minorHAnsi"/>
          <w:lang w:eastAsia="pl-PL"/>
        </w:rPr>
      </w:pPr>
      <w:hyperlink w:anchor="_Toc118887476">
        <w:r>
          <w:rPr>
            <w:rStyle w:val="Czeindeksu"/>
            <w:rFonts w:cs="Calibri" w:cstheme="minorHAnsi"/>
          </w:rPr>
          <w:t>Spis tabel</w:t>
        </w:r>
        <w:r>
          <w:rPr>
            <w:webHidden/>
          </w:rPr>
          <w:fldChar w:fldCharType="begin"/>
        </w:r>
        <w:r>
          <w:rPr>
            <w:webHidden/>
          </w:rPr>
          <w:instrText xml:space="preserve">PAGEREF _Toc118887476 \h</w:instrText>
        </w:r>
        <w:r>
          <w:rPr>
            <w:webHidden/>
          </w:rPr>
          <w:fldChar w:fldCharType="separate"/>
        </w:r>
        <w:r>
          <w:rPr>
            <w:rStyle w:val="Czeindeksu"/>
            <w:vanish w:val="false"/>
          </w:rPr>
          <w:tab/>
          <w:t>85</w:t>
        </w:r>
        <w:r>
          <w:rPr>
            <w:webHidden/>
          </w:rPr>
          <w:fldChar w:fldCharType="end"/>
        </w:r>
      </w:hyperlink>
    </w:p>
    <w:p>
      <w:pPr>
        <w:pStyle w:val="Spistreci2"/>
        <w:rPr>
          <w:rFonts w:ascii="Calibri" w:hAnsi="Calibri" w:eastAsia="" w:cs="" w:asciiTheme="minorHAnsi" w:cstheme="minorBidi" w:eastAsiaTheme="minorEastAsia" w:hAnsiTheme="minorHAnsi"/>
          <w:lang w:eastAsia="pl-PL"/>
        </w:rPr>
      </w:pPr>
      <w:hyperlink w:anchor="_Toc118887477">
        <w:r>
          <w:rPr>
            <w:rStyle w:val="Czeindeksu"/>
            <w:rFonts w:cs="Calibri" w:cstheme="minorHAnsi"/>
          </w:rPr>
          <w:t>Spis wykresów</w:t>
        </w:r>
        <w:r>
          <w:rPr>
            <w:webHidden/>
          </w:rPr>
          <w:fldChar w:fldCharType="begin"/>
        </w:r>
        <w:r>
          <w:rPr>
            <w:webHidden/>
          </w:rPr>
          <w:instrText xml:space="preserve">PAGEREF _Toc118887477 \h</w:instrText>
        </w:r>
        <w:r>
          <w:rPr>
            <w:webHidden/>
          </w:rPr>
          <w:fldChar w:fldCharType="separate"/>
        </w:r>
        <w:r>
          <w:rPr>
            <w:rStyle w:val="Czeindeksu"/>
            <w:vanish w:val="false"/>
          </w:rPr>
          <w:tab/>
          <w:t>86</w:t>
        </w:r>
        <w:r>
          <w:rPr>
            <w:webHidden/>
          </w:rPr>
          <w:fldChar w:fldCharType="end"/>
        </w:r>
      </w:hyperlink>
    </w:p>
    <w:p>
      <w:pPr>
        <w:pStyle w:val="Spistreci2"/>
        <w:rPr>
          <w:rFonts w:ascii="Calibri" w:hAnsi="Calibri" w:eastAsia="" w:cs="" w:asciiTheme="minorHAnsi" w:cstheme="minorBidi" w:eastAsiaTheme="minorEastAsia" w:hAnsiTheme="minorHAnsi"/>
          <w:lang w:eastAsia="pl-PL"/>
        </w:rPr>
      </w:pPr>
      <w:hyperlink w:anchor="_Toc118887478">
        <w:r>
          <w:rPr>
            <w:rStyle w:val="Czeindeksu"/>
            <w:rFonts w:cs="Calibri" w:cstheme="minorHAnsi"/>
          </w:rPr>
          <w:t>Spis map</w:t>
        </w:r>
        <w:r>
          <w:rPr>
            <w:webHidden/>
          </w:rPr>
          <w:fldChar w:fldCharType="begin"/>
        </w:r>
        <w:r>
          <w:rPr>
            <w:webHidden/>
          </w:rPr>
          <w:instrText xml:space="preserve">PAGEREF _Toc118887478 \h</w:instrText>
        </w:r>
        <w:r>
          <w:rPr>
            <w:webHidden/>
          </w:rPr>
          <w:fldChar w:fldCharType="separate"/>
        </w:r>
        <w:r>
          <w:rPr>
            <w:rStyle w:val="Czeindeksu"/>
            <w:vanish w:val="false"/>
          </w:rPr>
          <w:tab/>
          <w:t>86</w:t>
        </w:r>
        <w:r>
          <w:rPr>
            <w:webHidden/>
          </w:rPr>
          <w:fldChar w:fldCharType="end"/>
        </w:r>
      </w:hyperlink>
    </w:p>
    <w:p>
      <w:pPr>
        <w:pStyle w:val="Spistreci2"/>
        <w:rPr>
          <w:rFonts w:ascii="Calibri" w:hAnsi="Calibri" w:eastAsia="" w:cs="" w:asciiTheme="minorHAnsi" w:cstheme="minorBidi" w:eastAsiaTheme="minorEastAsia" w:hAnsiTheme="minorHAnsi"/>
          <w:lang w:eastAsia="pl-PL"/>
        </w:rPr>
      </w:pPr>
      <w:hyperlink w:anchor="_Toc118887479">
        <w:r>
          <w:rPr>
            <w:rStyle w:val="Czeindeksu"/>
            <w:rFonts w:cs="Calibri" w:cstheme="minorHAnsi"/>
          </w:rPr>
          <w:t>Spis zdjęć</w:t>
        </w:r>
        <w:r>
          <w:rPr>
            <w:webHidden/>
          </w:rPr>
          <w:fldChar w:fldCharType="begin"/>
        </w:r>
        <w:r>
          <w:rPr>
            <w:webHidden/>
          </w:rPr>
          <w:instrText xml:space="preserve">PAGEREF _Toc118887479 \h</w:instrText>
        </w:r>
        <w:r>
          <w:rPr>
            <w:webHidden/>
          </w:rPr>
          <w:fldChar w:fldCharType="separate"/>
        </w:r>
        <w:r>
          <w:rPr>
            <w:rStyle w:val="Czeindeksu"/>
            <w:vanish w:val="false"/>
          </w:rPr>
          <w:tab/>
          <w:t>86</w:t>
        </w:r>
        <w:r>
          <w:rPr>
            <w:webHidden/>
          </w:rPr>
          <w:fldChar w:fldCharType="end"/>
        </w:r>
      </w:hyperlink>
    </w:p>
    <w:p>
      <w:pPr>
        <w:pStyle w:val="NoSpacing"/>
        <w:rPr>
          <w:rFonts w:ascii="Calibri" w:hAnsi="Calibri" w:cs="Calibri" w:asciiTheme="minorHAnsi" w:cstheme="minorHAnsi" w:hAnsiTheme="minorHAnsi"/>
          <w:color w:val="FF0000"/>
          <w:highlight w:val="yellow"/>
        </w:rPr>
      </w:pPr>
      <w:r>
        <w:rPr>
          <w:rFonts w:cs="Calibri" w:cstheme="minorHAnsi"/>
          <w:color w:val="FF0000"/>
          <w:highlight w:val="yellow"/>
        </w:rPr>
      </w:r>
    </w:p>
    <w:p>
      <w:pPr>
        <w:pStyle w:val="NoSpacing"/>
        <w:jc w:val="both"/>
        <w:rPr>
          <w:rFonts w:ascii="Calibri" w:hAnsi="Calibri" w:cs="Calibri" w:asciiTheme="minorHAnsi" w:cstheme="minorHAnsi" w:hAnsiTheme="minorHAnsi"/>
          <w:color w:val="FF0000"/>
          <w:highlight w:val="yellow"/>
        </w:rPr>
      </w:pPr>
      <w:r>
        <w:rPr>
          <w:rFonts w:cs="Calibri" w:cstheme="minorHAnsi"/>
          <w:color w:val="FF0000"/>
          <w:highlight w:val="yellow"/>
        </w:rPr>
      </w:r>
      <w:r>
        <w:br w:type="page"/>
      </w:r>
    </w:p>
    <w:p>
      <w:pPr>
        <w:pStyle w:val="Nagwek1"/>
        <w:numPr>
          <w:ilvl w:val="0"/>
          <w:numId w:val="1"/>
        </w:numPr>
        <w:spacing w:lineRule="auto" w:line="240" w:before="0" w:after="0"/>
        <w:ind w:left="426" w:hanging="426"/>
        <w:rPr>
          <w:rFonts w:ascii="Calibri" w:hAnsi="Calibri" w:cs="Calibri" w:asciiTheme="minorHAnsi" w:cstheme="minorHAnsi" w:hAnsiTheme="minorHAnsi"/>
        </w:rPr>
      </w:pPr>
      <w:bookmarkStart w:id="7" w:name="_Toc69212049"/>
      <w:bookmarkStart w:id="8" w:name="_Toc118887448"/>
      <w:r>
        <w:rPr>
          <w:rFonts w:cs="Calibri" w:ascii="Calibri" w:hAnsi="Calibri" w:asciiTheme="minorHAnsi" w:cstheme="minorHAnsi" w:hAnsiTheme="minorHAnsi"/>
        </w:rPr>
        <w:t>Charakterystyka gminy</w:t>
      </w:r>
      <w:bookmarkEnd w:id="7"/>
      <w:bookmarkEnd w:id="8"/>
    </w:p>
    <w:p>
      <w:pPr>
        <w:pStyle w:val="Nagwek2"/>
        <w:numPr>
          <w:ilvl w:val="1"/>
          <w:numId w:val="1"/>
        </w:numPr>
        <w:spacing w:lineRule="auto" w:line="240" w:before="120" w:after="120"/>
        <w:ind w:left="426" w:hanging="432"/>
        <w:rPr>
          <w:rFonts w:ascii="Calibri" w:hAnsi="Calibri" w:cs="Calibri" w:asciiTheme="minorHAnsi" w:cstheme="minorHAnsi" w:hAnsiTheme="minorHAnsi"/>
          <w:i w:val="false"/>
          <w:i w:val="false"/>
          <w:iCs w:val="false"/>
        </w:rPr>
      </w:pPr>
      <w:r>
        <w:rPr>
          <w:rFonts w:cs="Calibri" w:ascii="Calibri" w:hAnsi="Calibri" w:asciiTheme="minorHAnsi" w:cstheme="minorHAnsi" w:hAnsiTheme="minorHAnsi"/>
          <w:i w:val="false"/>
          <w:iCs w:val="false"/>
        </w:rPr>
        <w:t xml:space="preserve"> </w:t>
      </w:r>
      <w:bookmarkStart w:id="9" w:name="_Toc118887449"/>
      <w:r>
        <w:rPr>
          <w:rFonts w:cs="Calibri" w:ascii="Calibri" w:hAnsi="Calibri" w:asciiTheme="minorHAnsi" w:cstheme="minorHAnsi" w:hAnsiTheme="minorHAnsi"/>
          <w:i w:val="false"/>
          <w:iCs w:val="false"/>
        </w:rPr>
        <w:t>Rys historyczny</w:t>
      </w:r>
      <w:r>
        <w:rPr>
          <w:rStyle w:val="Zakotwiczenieprzypisudolnego"/>
          <w:rFonts w:cs="Calibri" w:ascii="Calibri" w:hAnsi="Calibri" w:asciiTheme="minorHAnsi" w:cstheme="minorHAnsi" w:hAnsiTheme="minorHAnsi"/>
          <w:i w:val="false"/>
          <w:iCs w:val="false"/>
        </w:rPr>
        <w:footnoteReference w:id="2"/>
      </w:r>
      <w:bookmarkEnd w:id="9"/>
    </w:p>
    <w:p>
      <w:pPr>
        <w:pStyle w:val="Normal"/>
        <w:shd w:val="clear" w:color="auto" w:fill="FFFFFF"/>
        <w:spacing w:lineRule="auto" w:line="240" w:before="120" w:after="120"/>
        <w:jc w:val="both"/>
        <w:textAlignment w:val="baseline"/>
        <w:rPr>
          <w:rFonts w:eastAsia="Times New Roman" w:cs="Calibri" w:cstheme="minorHAnsi"/>
          <w:lang w:eastAsia="pl-PL"/>
        </w:rPr>
      </w:pPr>
      <w:r>
        <w:rPr>
          <w:rFonts w:eastAsia="Times New Roman" w:cs="Calibri" w:cstheme="minorHAnsi"/>
          <w:lang w:eastAsia="pl-PL"/>
        </w:rPr>
        <w:t xml:space="preserve">Wieś Dwikozy posiadała różne nazwy: De Dwikoz, Decoze lub Dwejkoszy, lub Due Caprae. Nazwa Due Caprae w języku polskim oznacza Dwie Kozy. Taka nazwa pojawia się dopiero w 1827 roku, natomiast ostateczna wersja nazwy gminy — Dwikozy ukształtowana została w 1881 roku. Pierwsza wzmianka na temat Dwikóz pojawia się w źródłach historycznych w XII wieku. Wówczas to wieś Dwikozy jako tzw. Prebenda Dwikozka (posiadłość duchowna) wraz z wsią Bożydar stanowiły uposażenie jednego </w:t>
        <w:br/>
        <w:t xml:space="preserve">z kanoników kapituły kolegiaty sandomierskiej. Znajduje to potwierdzenie w przywileju wydanym w 1276 r. przez polskiego monarchę, księcia krakowskiego i sandomierskiego, Bolesława Wstydliwego, który idąc w ślady swoich poprzedników, udziela posiadłościom kolegiaty sandomierskiej wszystkich swobód i wolności jakie posiadają dobra katedry krakowskiej. Zgodnie z tym przywilejem mieszkańcy wsi Dwikozy, Bożydaru i innych wsi zostali zwolnieni od wykonywania następujących powinności: „przewod” — konieczność dawania przewodnika w czasie przejazdu księcia, „powoz” — dawanie podwód pod dwór książęcy, „stan”, czyli stacja — żywienie dworu książąt przyjeżdżających, „targowe” — opłata od bydła i owiec na stół książęcy, „straż” — dawanie zboża na utrzymanie strażników zamkowych. Przywilej książęcy uwalniał mieszkańców Dwikóz i Bożegodaru od służby wojskowej, od „pogoni”, czyli ścigania nieprzyjaciela, od pilnowania sokołów używanych do polowania, od budowy </w:t>
        <w:br/>
        <w:t>i naprawy zamków, oraz od opłat dawanych księciu, wojewodom i kasztelanom.</w:t>
      </w:r>
    </w:p>
    <w:p>
      <w:pPr>
        <w:pStyle w:val="Normal"/>
        <w:spacing w:lineRule="auto" w:line="240" w:before="0" w:after="0"/>
        <w:jc w:val="both"/>
        <w:rPr>
          <w:rFonts w:eastAsia="Times New Roman" w:cs="Calibri" w:cstheme="minorHAnsi"/>
          <w:b/>
          <w:b/>
          <w:bCs/>
          <w:sz w:val="20"/>
          <w:szCs w:val="20"/>
          <w:highlight w:val="yellow"/>
        </w:rPr>
      </w:pPr>
      <w:r>
        <w:rPr>
          <w:rFonts w:eastAsia="Times New Roman" w:cs="Calibri" w:cstheme="minorHAnsi"/>
          <w:b/>
          <w:bCs/>
          <w:sz w:val="20"/>
          <w:szCs w:val="20"/>
          <w:highlight w:val="yellow"/>
        </w:rPr>
      </w:r>
    </w:p>
    <w:p>
      <w:pPr>
        <w:pStyle w:val="Nagwek2"/>
        <w:numPr>
          <w:ilvl w:val="1"/>
          <w:numId w:val="1"/>
        </w:numPr>
        <w:spacing w:lineRule="auto" w:line="240" w:before="0" w:after="0"/>
        <w:ind w:left="426" w:hanging="432"/>
        <w:rPr>
          <w:rFonts w:ascii="Calibri" w:hAnsi="Calibri" w:cs="Calibri" w:asciiTheme="minorHAnsi" w:cstheme="minorHAnsi" w:hAnsiTheme="minorHAnsi"/>
          <w:i w:val="false"/>
          <w:i w:val="false"/>
          <w:iCs w:val="false"/>
        </w:rPr>
      </w:pPr>
      <w:r>
        <w:rPr>
          <w:rFonts w:cs="Calibri" w:ascii="Calibri" w:hAnsi="Calibri" w:asciiTheme="minorHAnsi" w:cstheme="minorHAnsi" w:hAnsiTheme="minorHAnsi"/>
          <w:i w:val="false"/>
          <w:iCs w:val="false"/>
        </w:rPr>
        <w:t xml:space="preserve"> </w:t>
      </w:r>
      <w:bookmarkStart w:id="10" w:name="_Toc118887450"/>
      <w:r>
        <w:rPr>
          <w:rFonts w:cs="Calibri" w:ascii="Calibri" w:hAnsi="Calibri" w:asciiTheme="minorHAnsi" w:cstheme="minorHAnsi" w:hAnsiTheme="minorHAnsi"/>
          <w:i w:val="false"/>
          <w:iCs w:val="false"/>
        </w:rPr>
        <w:t>Lokalne dziedzictwo</w:t>
      </w:r>
      <w:bookmarkEnd w:id="10"/>
      <w:r>
        <w:rPr>
          <w:rFonts w:cs="Calibri" w:ascii="Calibri" w:hAnsi="Calibri" w:asciiTheme="minorHAnsi" w:cstheme="minorHAnsi" w:hAnsiTheme="minorHAnsi"/>
          <w:i w:val="false"/>
          <w:iCs w:val="false"/>
        </w:rPr>
        <w:t xml:space="preserve"> </w:t>
      </w:r>
    </w:p>
    <w:p>
      <w:pPr>
        <w:pStyle w:val="NoSpacing"/>
        <w:jc w:val="both"/>
        <w:rPr>
          <w:rFonts w:ascii="Calibri" w:hAnsi="Calibri" w:cs="Calibri" w:asciiTheme="minorHAnsi" w:cstheme="minorHAnsi" w:hAnsiTheme="minorHAnsi"/>
          <w:b/>
          <w:b/>
          <w:bCs/>
          <w:sz w:val="12"/>
          <w:szCs w:val="12"/>
          <w:highlight w:val="yellow"/>
        </w:rPr>
      </w:pPr>
      <w:r>
        <w:rPr>
          <w:rFonts w:cs="Calibri" w:cstheme="minorHAnsi"/>
          <w:b/>
          <w:bCs/>
          <w:sz w:val="12"/>
          <w:szCs w:val="12"/>
          <w:highlight w:val="yellow"/>
        </w:rPr>
      </w:r>
    </w:p>
    <w:p>
      <w:pPr>
        <w:pStyle w:val="Normal"/>
        <w:spacing w:lineRule="auto" w:line="240" w:before="0" w:after="0"/>
        <w:jc w:val="both"/>
        <w:rPr>
          <w:rFonts w:eastAsia="SimSun" w:cs="Calibri" w:cstheme="minorHAnsi"/>
          <w:lang w:eastAsia="zh-CN"/>
        </w:rPr>
      </w:pPr>
      <w:r>
        <w:rPr>
          <w:rFonts w:eastAsia="SimSun" w:cs="Calibri" w:cstheme="minorHAnsi"/>
          <w:lang w:eastAsia="zh-CN"/>
        </w:rPr>
        <w:t xml:space="preserve">Na terenie gminy zlokalizowane </w:t>
      </w:r>
      <w:r>
        <w:rPr>
          <w:rFonts w:eastAsia="SimSun" w:cs="Calibri" w:cstheme="minorHAnsi"/>
          <w:b/>
          <w:bCs/>
          <w:lang w:eastAsia="zh-CN"/>
        </w:rPr>
        <w:t>są trzy zabytki</w:t>
      </w:r>
      <w:r>
        <w:rPr>
          <w:rFonts w:eastAsia="SimSun" w:cs="Calibri" w:cstheme="minorHAnsi"/>
          <w:b/>
          <w:lang w:eastAsia="zh-CN"/>
        </w:rPr>
        <w:t xml:space="preserve"> wpisane do rejestru zabytków nieruchomych prowadzonego przez Świętokrzyskiego Konserwatora Zabytków</w:t>
      </w:r>
      <w:r>
        <w:rPr>
          <w:rFonts w:eastAsia="SimSun" w:cs="Calibri" w:cstheme="minorHAnsi"/>
          <w:lang w:eastAsia="zh-CN"/>
        </w:rPr>
        <w:t xml:space="preserve">. </w:t>
      </w:r>
    </w:p>
    <w:p>
      <w:pPr>
        <w:pStyle w:val="Normal"/>
        <w:spacing w:lineRule="auto" w:line="240" w:before="0" w:after="0"/>
        <w:jc w:val="both"/>
        <w:rPr>
          <w:rFonts w:eastAsia="Calibri" w:cs="Calibri" w:cstheme="minorHAnsi"/>
          <w:b/>
          <w:b/>
          <w:bCs/>
        </w:rPr>
      </w:pPr>
      <w:r>
        <w:rPr>
          <w:rFonts w:eastAsia="Calibri" w:cs="Calibri" w:cstheme="minorHAnsi"/>
          <w:b/>
          <w:bCs/>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1" w:name="_Toc118887750"/>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w:t>
      </w:r>
      <w:r>
        <w:rPr>
          <w:b w:val="false"/>
          <w:bCs w:val="false"/>
          <w:rFonts w:cs="Calibri"/>
        </w:rPr>
        <w:fldChar w:fldCharType="end"/>
      </w:r>
      <w:r>
        <w:rPr>
          <w:rFonts w:cs="Calibri" w:cstheme="minorHAnsi"/>
          <w:b w:val="false"/>
          <w:bCs w:val="false"/>
        </w:rPr>
        <w:t xml:space="preserve"> Wykaz zabytków znajdujących się na terenie gminy Dwikozy wpisanych do rejestru zabytków nieruchomych</w:t>
      </w:r>
      <w:bookmarkEnd w:id="11"/>
    </w:p>
    <w:tbl>
      <w:tblPr>
        <w:tblStyle w:val="Tabela-Siatka"/>
        <w:tblW w:w="910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35"/>
        <w:gridCol w:w="787"/>
        <w:gridCol w:w="830"/>
        <w:gridCol w:w="2377"/>
        <w:gridCol w:w="3125"/>
        <w:gridCol w:w="1450"/>
      </w:tblGrid>
      <w:tr>
        <w:trPr>
          <w:trHeight w:val="719" w:hRule="atLeast"/>
        </w:trPr>
        <w:tc>
          <w:tcPr>
            <w:tcW w:w="535" w:type="dxa"/>
            <w:tcBorders/>
            <w:shd w:color="auto" w:fill="FFF2CC" w:themeFill="accent4" w:themeFillTint="33"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b/>
                <w:bCs/>
                <w:kern w:val="0"/>
                <w:sz w:val="21"/>
                <w:szCs w:val="21"/>
                <w:lang w:eastAsia="en-US" w:bidi="ar-SA"/>
              </w:rPr>
              <w:t>L.p.</w:t>
            </w:r>
          </w:p>
        </w:tc>
        <w:tc>
          <w:tcPr>
            <w:tcW w:w="787" w:type="dxa"/>
            <w:tcBorders/>
            <w:shd w:color="auto" w:fill="FFF2CC" w:themeFill="accent4" w:themeFillTint="33"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b/>
                <w:bCs/>
                <w:kern w:val="0"/>
                <w:sz w:val="21"/>
                <w:szCs w:val="21"/>
                <w:lang w:eastAsia="en-US" w:bidi="ar-SA"/>
              </w:rPr>
              <w:t>rejestr</w:t>
            </w:r>
          </w:p>
        </w:tc>
        <w:tc>
          <w:tcPr>
            <w:tcW w:w="830" w:type="dxa"/>
            <w:tcBorders/>
            <w:shd w:color="auto" w:fill="FFF2CC" w:themeFill="accent4" w:themeFillTint="33"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b/>
                <w:bCs/>
                <w:kern w:val="0"/>
                <w:sz w:val="21"/>
                <w:szCs w:val="21"/>
                <w:lang w:eastAsia="en-US" w:bidi="ar-SA"/>
              </w:rPr>
              <w:t>numer</w:t>
            </w:r>
          </w:p>
        </w:tc>
        <w:tc>
          <w:tcPr>
            <w:tcW w:w="2377" w:type="dxa"/>
            <w:tcBorders/>
            <w:shd w:color="auto" w:fill="FFF2CC" w:themeFill="accent4" w:themeFillTint="33"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b/>
                <w:bCs/>
                <w:kern w:val="0"/>
                <w:sz w:val="21"/>
                <w:szCs w:val="21"/>
                <w:lang w:eastAsia="en-US" w:bidi="ar-SA"/>
              </w:rPr>
              <w:t>Przedmiot ochrony</w:t>
            </w:r>
          </w:p>
        </w:tc>
        <w:tc>
          <w:tcPr>
            <w:tcW w:w="3125" w:type="dxa"/>
            <w:tcBorders/>
            <w:shd w:color="auto" w:fill="FFF2CC" w:themeFill="accent4" w:themeFillTint="33"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b/>
                <w:bCs/>
                <w:kern w:val="0"/>
                <w:sz w:val="21"/>
                <w:szCs w:val="21"/>
                <w:lang w:eastAsia="en-US" w:bidi="ar-SA"/>
              </w:rPr>
              <w:t>Zakres ochrony</w:t>
            </w:r>
          </w:p>
        </w:tc>
        <w:tc>
          <w:tcPr>
            <w:tcW w:w="1450" w:type="dxa"/>
            <w:tcBorders/>
            <w:shd w:color="auto" w:fill="FFF2CC" w:themeFill="accent4" w:themeFillTint="33"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b/>
                <w:bCs/>
                <w:kern w:val="0"/>
                <w:sz w:val="21"/>
                <w:szCs w:val="21"/>
                <w:lang w:eastAsia="en-US" w:bidi="ar-SA"/>
              </w:rPr>
              <w:t>miejscowość</w:t>
            </w:r>
          </w:p>
        </w:tc>
      </w:tr>
      <w:tr>
        <w:trPr>
          <w:trHeight w:val="211" w:hRule="atLeast"/>
        </w:trPr>
        <w:tc>
          <w:tcPr>
            <w:tcW w:w="535" w:type="dxa"/>
            <w:tcBorders/>
            <w:shd w:color="auto" w:fill="auto" w:val="clear"/>
            <w:vAlign w:val="center"/>
          </w:tcPr>
          <w:p>
            <w:pPr>
              <w:pStyle w:val="ListParagraph"/>
              <w:widowControl/>
              <w:spacing w:lineRule="auto" w:line="240" w:before="0" w:after="0"/>
              <w:ind w:left="0" w:hanging="0"/>
              <w:jc w:val="left"/>
              <w:rPr>
                <w:rFonts w:ascii="Calibri" w:hAnsi="Calibri" w:cs="Calibri" w:asciiTheme="minorHAnsi" w:cstheme="minorHAnsi" w:hAnsiTheme="minorHAnsi"/>
                <w:b/>
                <w:b/>
                <w:bCs/>
                <w:sz w:val="21"/>
                <w:szCs w:val="21"/>
              </w:rPr>
            </w:pPr>
            <w:r>
              <w:rPr>
                <w:rFonts w:cs="Calibri" w:cstheme="minorHAnsi"/>
                <w:b/>
                <w:bCs/>
                <w:kern w:val="0"/>
                <w:sz w:val="21"/>
                <w:szCs w:val="21"/>
                <w:lang w:eastAsia="en-US" w:bidi="ar-SA"/>
              </w:rPr>
              <w:t>1</w:t>
            </w:r>
          </w:p>
        </w:tc>
        <w:tc>
          <w:tcPr>
            <w:tcW w:w="787" w:type="dxa"/>
            <w:tcBorders>
              <w:left w:val="nil"/>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kern w:val="0"/>
                <w:sz w:val="21"/>
                <w:szCs w:val="21"/>
                <w:lang w:eastAsia="en-US" w:bidi="ar-SA"/>
              </w:rPr>
              <w:t>A</w:t>
            </w:r>
          </w:p>
        </w:tc>
        <w:tc>
          <w:tcPr>
            <w:tcW w:w="830"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668/</w:t>
            </w:r>
          </w:p>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kern w:val="0"/>
                <w:sz w:val="21"/>
                <w:szCs w:val="21"/>
                <w:lang w:eastAsia="en-US" w:bidi="ar-SA"/>
              </w:rPr>
              <w:t>1-3</w:t>
            </w:r>
          </w:p>
        </w:tc>
        <w:tc>
          <w:tcPr>
            <w:tcW w:w="2377"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b/>
                <w:b/>
                <w:bCs/>
                <w:sz w:val="21"/>
                <w:szCs w:val="21"/>
              </w:rPr>
            </w:pPr>
            <w:r>
              <w:rPr>
                <w:rFonts w:eastAsia="Calibri" w:cs="Calibri" w:cstheme="minorHAnsi"/>
                <w:kern w:val="0"/>
                <w:sz w:val="21"/>
                <w:szCs w:val="21"/>
                <w:lang w:eastAsia="en-US" w:bidi="ar-SA"/>
              </w:rPr>
              <w:t>Zespół Kościoła Parafialnego</w:t>
            </w:r>
          </w:p>
        </w:tc>
        <w:tc>
          <w:tcPr>
            <w:tcW w:w="3125" w:type="dxa"/>
            <w:tcBorders/>
            <w:shd w:color="auto" w:fill="auto" w:val="clear"/>
            <w:vAlign w:val="center"/>
          </w:tcPr>
          <w:p>
            <w:pPr>
              <w:pStyle w:val="ListParagraph"/>
              <w:widowControl/>
              <w:numPr>
                <w:ilvl w:val="0"/>
                <w:numId w:val="25"/>
              </w:numPr>
              <w:spacing w:lineRule="auto" w:line="240" w:before="0" w:after="0"/>
              <w:jc w:val="center"/>
              <w:rPr>
                <w:rFonts w:ascii="Calibri" w:hAnsi="Calibri" w:cs="Calibri" w:asciiTheme="minorHAnsi" w:cstheme="minorHAnsi" w:hAnsiTheme="minorHAnsi"/>
                <w:sz w:val="21"/>
                <w:szCs w:val="21"/>
              </w:rPr>
            </w:pPr>
            <w:r>
              <w:rPr>
                <w:rFonts w:cs="Calibri" w:cstheme="minorHAnsi"/>
                <w:kern w:val="0"/>
                <w:sz w:val="21"/>
                <w:szCs w:val="21"/>
                <w:lang w:eastAsia="en-US" w:bidi="ar-SA"/>
              </w:rPr>
              <w:t>Kościół parafialny</w:t>
            </w:r>
          </w:p>
          <w:p>
            <w:pPr>
              <w:pStyle w:val="ListParagraph"/>
              <w:widowControl/>
              <w:numPr>
                <w:ilvl w:val="0"/>
                <w:numId w:val="25"/>
              </w:numPr>
              <w:spacing w:lineRule="auto" w:line="240" w:before="0" w:after="0"/>
              <w:jc w:val="center"/>
              <w:rPr>
                <w:rFonts w:ascii="Calibri" w:hAnsi="Calibri" w:cs="Calibri" w:asciiTheme="minorHAnsi" w:cstheme="minorHAnsi" w:hAnsiTheme="minorHAnsi"/>
                <w:sz w:val="21"/>
                <w:szCs w:val="21"/>
              </w:rPr>
            </w:pPr>
            <w:r>
              <w:rPr>
                <w:rFonts w:cs="Calibri" w:cstheme="minorHAnsi"/>
                <w:kern w:val="0"/>
                <w:sz w:val="21"/>
                <w:szCs w:val="21"/>
                <w:lang w:eastAsia="en-US" w:bidi="ar-SA"/>
              </w:rPr>
              <w:t>Kaplica podziemna</w:t>
            </w:r>
          </w:p>
          <w:p>
            <w:pPr>
              <w:pStyle w:val="ListParagraph"/>
              <w:widowControl/>
              <w:numPr>
                <w:ilvl w:val="0"/>
                <w:numId w:val="25"/>
              </w:numPr>
              <w:spacing w:lineRule="auto" w:line="240" w:before="0" w:after="0"/>
              <w:jc w:val="center"/>
              <w:rPr>
                <w:rFonts w:ascii="Calibri" w:hAnsi="Calibri" w:cs="Calibri" w:asciiTheme="minorHAnsi" w:cstheme="minorHAnsi" w:hAnsiTheme="minorHAnsi"/>
                <w:sz w:val="21"/>
                <w:szCs w:val="21"/>
              </w:rPr>
            </w:pPr>
            <w:r>
              <w:rPr>
                <w:rFonts w:cs="Calibri" w:cstheme="minorHAnsi"/>
                <w:kern w:val="0"/>
                <w:sz w:val="21"/>
                <w:szCs w:val="21"/>
                <w:lang w:eastAsia="en-US" w:bidi="ar-SA"/>
              </w:rPr>
              <w:t>ogrodzenie z bramkami i kaplicami;</w:t>
            </w:r>
          </w:p>
        </w:tc>
        <w:tc>
          <w:tcPr>
            <w:tcW w:w="1450"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Góry Wysokie</w:t>
            </w:r>
          </w:p>
        </w:tc>
      </w:tr>
      <w:tr>
        <w:trPr>
          <w:trHeight w:val="452" w:hRule="atLeast"/>
        </w:trPr>
        <w:tc>
          <w:tcPr>
            <w:tcW w:w="535" w:type="dxa"/>
            <w:tcBorders/>
            <w:shd w:color="auto" w:fill="E2EFD9" w:themeFill="accent6" w:themeFillTint="33" w:val="clear"/>
            <w:vAlign w:val="center"/>
          </w:tcPr>
          <w:p>
            <w:pPr>
              <w:pStyle w:val="ListParagraph"/>
              <w:widowControl/>
              <w:spacing w:lineRule="auto" w:line="240" w:before="0" w:after="0"/>
              <w:ind w:left="0" w:hanging="0"/>
              <w:jc w:val="left"/>
              <w:rPr>
                <w:rFonts w:ascii="Calibri" w:hAnsi="Calibri" w:cs="Calibri" w:asciiTheme="minorHAnsi" w:cstheme="minorHAnsi" w:hAnsiTheme="minorHAnsi"/>
                <w:b/>
                <w:b/>
                <w:bCs/>
                <w:sz w:val="21"/>
                <w:szCs w:val="21"/>
              </w:rPr>
            </w:pPr>
            <w:r>
              <w:rPr>
                <w:rFonts w:cs="Calibri" w:cstheme="minorHAnsi"/>
                <w:b/>
                <w:bCs/>
                <w:kern w:val="0"/>
                <w:sz w:val="21"/>
                <w:szCs w:val="21"/>
                <w:lang w:eastAsia="en-US" w:bidi="ar-SA"/>
              </w:rPr>
              <w:t>2</w:t>
            </w:r>
          </w:p>
        </w:tc>
        <w:tc>
          <w:tcPr>
            <w:tcW w:w="787" w:type="dxa"/>
            <w:tcBorders>
              <w:left w:val="nil"/>
            </w:tcBorders>
            <w:shd w:color="auto" w:fill="E2EFD9" w:themeFill="accent6" w:themeFillTint="33"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A</w:t>
            </w:r>
          </w:p>
        </w:tc>
        <w:tc>
          <w:tcPr>
            <w:tcW w:w="830" w:type="dxa"/>
            <w:tcBorders/>
            <w:shd w:color="auto" w:fill="E2EFD9" w:themeFill="accent6" w:themeFillTint="33"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669</w:t>
            </w:r>
          </w:p>
        </w:tc>
        <w:tc>
          <w:tcPr>
            <w:tcW w:w="2377" w:type="dxa"/>
            <w:tcBorders/>
            <w:shd w:color="auto" w:fill="E2EFD9" w:themeFill="accent6" w:themeFillTint="33"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Cmentarz parafialny</w:t>
            </w:r>
          </w:p>
        </w:tc>
        <w:tc>
          <w:tcPr>
            <w:tcW w:w="3125" w:type="dxa"/>
            <w:tcBorders/>
            <w:shd w:color="auto" w:fill="E2EFD9" w:themeFill="accent6" w:themeFillTint="33"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Teren cmentarza</w:t>
            </w:r>
          </w:p>
        </w:tc>
        <w:tc>
          <w:tcPr>
            <w:tcW w:w="1450" w:type="dxa"/>
            <w:tcBorders/>
            <w:shd w:color="auto" w:fill="E2EFD9" w:themeFill="accent6" w:themeFillTint="33"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Góry Wysokie</w:t>
            </w:r>
          </w:p>
        </w:tc>
      </w:tr>
      <w:tr>
        <w:trPr>
          <w:trHeight w:val="1079" w:hRule="atLeast"/>
        </w:trPr>
        <w:tc>
          <w:tcPr>
            <w:tcW w:w="535" w:type="dxa"/>
            <w:tcBorders/>
            <w:shd w:color="auto" w:fill="auto" w:val="clear"/>
            <w:vAlign w:val="center"/>
          </w:tcPr>
          <w:p>
            <w:pPr>
              <w:pStyle w:val="ListParagraph"/>
              <w:widowControl/>
              <w:spacing w:lineRule="auto" w:line="240" w:before="0" w:after="0"/>
              <w:ind w:left="0" w:hanging="0"/>
              <w:jc w:val="left"/>
              <w:rPr>
                <w:rFonts w:ascii="Calibri" w:hAnsi="Calibri" w:cs="Calibri" w:asciiTheme="minorHAnsi" w:cstheme="minorHAnsi" w:hAnsiTheme="minorHAnsi"/>
                <w:b/>
                <w:b/>
                <w:bCs/>
                <w:sz w:val="21"/>
                <w:szCs w:val="21"/>
              </w:rPr>
            </w:pPr>
            <w:r>
              <w:rPr>
                <w:rFonts w:cs="Calibri" w:cstheme="minorHAnsi"/>
                <w:b/>
                <w:bCs/>
                <w:kern w:val="0"/>
                <w:sz w:val="21"/>
                <w:szCs w:val="21"/>
                <w:lang w:eastAsia="en-US" w:bidi="ar-SA"/>
              </w:rPr>
              <w:t>3</w:t>
            </w:r>
          </w:p>
        </w:tc>
        <w:tc>
          <w:tcPr>
            <w:tcW w:w="787" w:type="dxa"/>
            <w:tcBorders>
              <w:left w:val="nil"/>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A</w:t>
            </w:r>
          </w:p>
        </w:tc>
        <w:tc>
          <w:tcPr>
            <w:tcW w:w="830"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670</w:t>
            </w:r>
          </w:p>
        </w:tc>
        <w:tc>
          <w:tcPr>
            <w:tcW w:w="2377"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Ruina kaplicy wraz z częściowo zachowanym murem ogrodzenia</w:t>
            </w:r>
          </w:p>
        </w:tc>
        <w:tc>
          <w:tcPr>
            <w:tcW w:w="3125"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ruina kaplicy p.w. SSW. Rocha</w:t>
              <w:br/>
              <w:t xml:space="preserve"> i Jacka (pierwotnie baszty) wraz </w:t>
              <w:br/>
              <w:t>z częściowo zachowanym murem ogrodzenia</w:t>
            </w:r>
          </w:p>
        </w:tc>
        <w:tc>
          <w:tcPr>
            <w:tcW w:w="1450" w:type="dxa"/>
            <w:tcBorders/>
            <w:shd w:color="auto" w:fill="auto" w:val="clear"/>
            <w:vAlign w:val="center"/>
          </w:tcPr>
          <w:p>
            <w:pPr>
              <w:pStyle w:val="Normal"/>
              <w:widowControl/>
              <w:spacing w:lineRule="auto" w:line="240" w:before="0" w:after="0"/>
              <w:jc w:val="center"/>
              <w:rPr>
                <w:rFonts w:ascii="Calibri" w:hAnsi="Calibri" w:cs="Calibri" w:asciiTheme="minorHAnsi" w:cstheme="minorHAnsi" w:hAnsiTheme="minorHAnsi"/>
                <w:sz w:val="21"/>
                <w:szCs w:val="21"/>
              </w:rPr>
            </w:pPr>
            <w:r>
              <w:rPr>
                <w:rFonts w:eastAsia="Calibri" w:cs="Calibri" w:cstheme="minorHAnsi"/>
                <w:kern w:val="0"/>
                <w:sz w:val="21"/>
                <w:szCs w:val="21"/>
                <w:lang w:eastAsia="en-US" w:bidi="ar-SA"/>
              </w:rPr>
              <w:t>Nowe Kichary</w:t>
            </w:r>
          </w:p>
        </w:tc>
      </w:tr>
    </w:tbl>
    <w:p>
      <w:pPr>
        <w:pStyle w:val="Normal"/>
        <w:spacing w:lineRule="auto" w:line="240" w:before="0" w:after="0"/>
        <w:jc w:val="center"/>
        <w:rPr>
          <w:rFonts w:eastAsia="Calibri" w:cs="Calibri" w:cstheme="minorHAnsi"/>
          <w:sz w:val="20"/>
          <w:szCs w:val="20"/>
        </w:rPr>
      </w:pPr>
      <w:r>
        <w:rPr>
          <w:rFonts w:eastAsia="Calibri" w:cs="Calibri" w:cstheme="minorHAnsi"/>
          <w:sz w:val="20"/>
          <w:szCs w:val="20"/>
        </w:rPr>
        <w:t>Źródło: rejestru zabytków nieruchomych województwa świętokrzyskiego - czerwiec 2021</w:t>
      </w:r>
    </w:p>
    <w:p>
      <w:pPr>
        <w:pStyle w:val="Normal"/>
        <w:spacing w:lineRule="auto" w:line="240" w:before="0" w:after="0"/>
        <w:jc w:val="both"/>
        <w:rPr>
          <w:rFonts w:eastAsia="Calibri" w:cs="Calibri" w:cstheme="minorHAnsi"/>
          <w:b/>
          <w:b/>
          <w:bCs/>
          <w:i/>
          <w:i/>
          <w:iCs/>
        </w:rPr>
      </w:pPr>
      <w:r>
        <w:rPr>
          <w:rFonts w:eastAsia="Calibri" w:cs="Calibri" w:cstheme="minorHAnsi"/>
          <w:b/>
          <w:bCs/>
          <w:i/>
          <w:iCs/>
        </w:rPr>
      </w:r>
    </w:p>
    <w:p>
      <w:pPr>
        <w:pStyle w:val="Normal"/>
        <w:spacing w:lineRule="auto" w:line="240" w:before="0" w:after="0"/>
        <w:ind w:firstLine="720"/>
        <w:jc w:val="both"/>
        <w:rPr>
          <w:rFonts w:cs="Calibri" w:cstheme="minorHAnsi"/>
          <w:color w:val="000000"/>
          <w:szCs w:val="24"/>
        </w:rPr>
      </w:pPr>
      <w:r>
        <w:rPr>
          <w:rFonts w:eastAsia="SimSun" w:cs="Calibri" w:cstheme="minorHAnsi"/>
          <w:lang w:eastAsia="zh-CN"/>
        </w:rPr>
        <w:t xml:space="preserve">Najistotniejszym zabytkiem w gminie Dwikozy, reprezentującym architekturę sakralną  jest późnobarokowy </w:t>
      </w:r>
      <w:r>
        <w:rPr>
          <w:rFonts w:cs="Calibri" w:cstheme="minorHAnsi"/>
          <w:b/>
          <w:color w:val="000000"/>
          <w:szCs w:val="24"/>
        </w:rPr>
        <w:t xml:space="preserve">Kościół parafialny pod wezwaniem Matki Boskiej Bolesnej i św. Wita Męczennika </w:t>
      </w:r>
      <w:r>
        <w:rPr>
          <w:rFonts w:eastAsia="SimSun" w:cs="Calibri" w:cstheme="minorHAnsi"/>
          <w:lang w:eastAsia="zh-CN"/>
        </w:rPr>
        <w:t xml:space="preserve">zlokalizowany w Górach Wysokich. </w:t>
      </w:r>
      <w:r>
        <w:rPr>
          <w:rFonts w:cs="Calibri" w:cstheme="minorHAnsi"/>
          <w:color w:val="000000"/>
          <w:szCs w:val="24"/>
        </w:rPr>
        <w:t xml:space="preserve">W miejscu dawnego kościółka drewnianego, z XIII w. powstał </w:t>
        <w:br/>
        <w:t xml:space="preserve">w 1778 r., kościół murowany jednonawowy z kaplicami po bokach i prostokątnym prezbiterium. </w:t>
        <w:br/>
        <w:t xml:space="preserve">W 1792 r. kościół ten został rozbudowany i całkowicie przekształcony wg projektu arch. ks. Józefa Karśnickiego. Restaurowany z drobnymi przeróbkami w różnych okresach (ok. 1856–60, 1897–99 i po 1911 r.), spłonął w wyniku działań wojennych w 1944 r., a następnie został odbudowany w latach 1948–49. We wnętrzu można rozpoznać cechy charakterystyczne dla baroku tj. m.in. pilastry, lizeny, ramy z płycinami na elewacjach, półkoliste otwory: wejściowy oraz wieńczący okna, falisty szczyt, na skrzyżowaniu transeptu i nawy ośmioboczna latarnia pozornej kopuły z sygnaturką, w ramionach transeptu. W kościele znajdują się relikwie Krzyża Świętego z oryginalnym dokumentem opatrzonym pieczęcią papieską oraz unikatowa pieta. We wschodniej części cmentarza przykościelnego, na osi prezbiterium, zlokalizowana jest podziemna kaplica, wybudowana pod koniec XVIII w. Kaplica oparta na rzucie prostokąta posiada sklepienia kolebkowe z gurtami. Nad kaplicą, w neobarokowym ogrodzeniu, z charakterystycznymi kaplicami w formie absydek znajduje się jedna z kilku bramek, </w:t>
        <w:br/>
        <w:t>w postaci dekoracyjnej arkady z figurą Matki Boskiej Zwycięskiej. Obok znajduje się stara plebania, obecnie nie użytkowana, murowana ok. 1860 r., zniszczona podczas II wojny światowej i odbudowana w 1944 r.</w:t>
      </w:r>
    </w:p>
    <w:p>
      <w:pPr>
        <w:pStyle w:val="Caption"/>
        <w:spacing w:lineRule="auto" w:line="240" w:before="0" w:after="0"/>
        <w:rPr>
          <w:rFonts w:ascii="Calibri" w:hAnsi="Calibri" w:cs="Calibri" w:asciiTheme="minorHAnsi" w:cstheme="minorHAnsi" w:hAnsi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2" w:name="_Toc118887436"/>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1</w:t>
      </w:r>
      <w:r>
        <w:rPr>
          <w:b w:val="false"/>
          <w:bCs w:val="false"/>
          <w:rFonts w:cs="Calibri"/>
        </w:rPr>
        <w:fldChar w:fldCharType="end"/>
      </w:r>
      <w:r>
        <w:rPr>
          <w:rFonts w:cs="Calibri" w:cstheme="minorHAnsi"/>
          <w:b w:val="false"/>
          <w:bCs w:val="false"/>
        </w:rPr>
        <w:t xml:space="preserve"> Kościół parafialny pod wezwaniem Matki Boskiej Bolesnej i św. Wita Męczennika w Górach Wysokich</w:t>
      </w:r>
      <w:bookmarkEnd w:id="12"/>
    </w:p>
    <w:p>
      <w:pPr>
        <w:pStyle w:val="Normal"/>
        <w:spacing w:lineRule="auto" w:line="240" w:before="0" w:after="0"/>
        <w:jc w:val="center"/>
        <w:rPr>
          <w:rFonts w:eastAsia="Calibri" w:cs="Calibri" w:cstheme="minorHAnsi"/>
          <w:sz w:val="20"/>
          <w:szCs w:val="20"/>
        </w:rPr>
      </w:pPr>
      <w:r>
        <w:rPr/>
        <w:drawing>
          <wp:inline distT="0" distB="0" distL="0" distR="0">
            <wp:extent cx="5355590" cy="4295775"/>
            <wp:effectExtent l="0" t="0" r="0" b="0"/>
            <wp:docPr id="2"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5" descr=""/>
                    <pic:cNvPicPr>
                      <a:picLocks noChangeAspect="1" noChangeArrowheads="1"/>
                    </pic:cNvPicPr>
                  </pic:nvPicPr>
                  <pic:blipFill>
                    <a:blip r:embed="rId3"/>
                    <a:stretch>
                      <a:fillRect/>
                    </a:stretch>
                  </pic:blipFill>
                  <pic:spPr bwMode="auto">
                    <a:xfrm>
                      <a:off x="0" y="0"/>
                      <a:ext cx="5355590" cy="4295775"/>
                    </a:xfrm>
                    <a:prstGeom prst="rect">
                      <a:avLst/>
                    </a:prstGeom>
                  </pic:spPr>
                </pic:pic>
              </a:graphicData>
            </a:graphic>
          </wp:inline>
        </w:drawing>
      </w:r>
    </w:p>
    <w:p>
      <w:pPr>
        <w:pStyle w:val="NoSpacing"/>
        <w:jc w:val="center"/>
        <w:rPr>
          <w:sz w:val="20"/>
          <w:szCs w:val="20"/>
          <w:highlight w:val="yellow"/>
        </w:rPr>
      </w:pPr>
      <w:r>
        <w:rPr>
          <w:sz w:val="20"/>
          <w:szCs w:val="20"/>
        </w:rPr>
        <w:t xml:space="preserve">Źródło: </w:t>
      </w:r>
      <w:hyperlink r:id="rId4">
        <w:r>
          <w:rPr>
            <w:rStyle w:val="Czeinternetowe"/>
            <w:rFonts w:cs="Calibri" w:cstheme="minorHAnsi"/>
            <w:color w:val="auto"/>
            <w:sz w:val="20"/>
            <w:szCs w:val="20"/>
            <w:u w:val="none"/>
          </w:rPr>
          <w:t>dwikozy.gmina.pl</w:t>
        </w:r>
      </w:hyperlink>
    </w:p>
    <w:p>
      <w:pPr>
        <w:pStyle w:val="Normal"/>
        <w:spacing w:lineRule="auto" w:line="240" w:before="0" w:after="0"/>
        <w:jc w:val="center"/>
        <w:rPr>
          <w:rFonts w:eastAsia="SimSun" w:cs="Calibri" w:cstheme="minorHAnsi"/>
          <w:sz w:val="20"/>
          <w:szCs w:val="20"/>
          <w:lang w:eastAsia="zh-CN"/>
        </w:rPr>
      </w:pPr>
      <w:r>
        <w:rPr>
          <w:rFonts w:eastAsia="SimSun" w:cs="Calibri" w:cstheme="minorHAnsi"/>
          <w:sz w:val="20"/>
          <w:szCs w:val="20"/>
          <w:lang w:eastAsia="zh-CN"/>
        </w:rPr>
      </w:r>
    </w:p>
    <w:p>
      <w:pPr>
        <w:pStyle w:val="Normal"/>
        <w:spacing w:lineRule="auto" w:line="240" w:before="0" w:after="0"/>
        <w:ind w:firstLine="720"/>
        <w:jc w:val="both"/>
        <w:rPr>
          <w:rFonts w:cs="Calibri" w:cstheme="minorHAnsi"/>
          <w:color w:val="000000"/>
          <w:szCs w:val="24"/>
        </w:rPr>
      </w:pPr>
      <w:r>
        <w:rPr>
          <w:rFonts w:eastAsia="SimSun" w:cs="Calibri" w:cstheme="minorHAnsi"/>
          <w:lang w:eastAsia="zh-CN"/>
        </w:rPr>
        <w:t xml:space="preserve">Innym cennym zabytkiem znajdującym się w granicach gminy jest </w:t>
      </w:r>
      <w:r>
        <w:rPr>
          <w:rFonts w:cs="Calibri" w:cstheme="minorHAnsi"/>
          <w:b/>
          <w:color w:val="000000"/>
          <w:szCs w:val="24"/>
        </w:rPr>
        <w:t>Baszta w Nowych Kicharach</w:t>
      </w:r>
      <w:r>
        <w:rPr>
          <w:rFonts w:cs="Calibri" w:cstheme="minorHAnsi"/>
          <w:color w:val="000000"/>
          <w:szCs w:val="24"/>
        </w:rPr>
        <w:t xml:space="preserve">, pierwotnie będąca prawdopodobnie basztą obronną, w zabudowaniach nieistniejącego obecnie dworu benedyktynek sandomierskich. Jest ona fragmentem zespołu objętego ochroną konserwatorską, w skład którego wchodzą: pozostałości muru ogrodzeniowego oraz cmentarza. Założona na zewnątrz na rzucie koła, wewnątrz ośmioboku, ma kształt dwukondygnacyjnego walca. We wnętrzu ujawniają się ślady dawnego ołtarza i polichromii. Wedle niektórych źródeł, to siostry benedyktynki wybudowały dwór obronny w Kicharach. Z kolei ks. Aleksander Bastrzykowski w swojej „Monografii historycznej parafii Góry Wysokie” (pierwsze wydanie w 1936r.) podaje, iż budowla przypominająca zamek stała w tym miejscu dużo wcześniej, zanim benedyktynki przybyły do Kichar: „Od najdawniejszych czasów stał na pagórku w Kicharach dwór murowany na piętro, zameczkiem zwany. Obszerne podwórze i zabudowania dworskie opasane były wysokim murem z czterema basztami po rogach i dwoma z ciosowego kamienia bramami, z trzech stron otaczała go woda. Strzelnice w basztach i cały zewnętrzny wygląd tego miejsca przekonywały, że było to miejsce obronne. W 1865 roku siostry benedyktynki opuściły Kichary i przeniosły się do nowo wybudowanego klasztoru, a budowla powoli popadała w ruinę. W II połowie XIX wieku stały jeszcze dwie wieże, </w:t>
        <w:br/>
        <w:t xml:space="preserve">a początku XX wieku pozostała już tylko jedna, którą nazwano kaplicą Św. Rocha i Jacka. Kaplica </w:t>
        <w:br/>
        <w:t xml:space="preserve">i otaczające ją mury uległy znacznemu zniszczeniu w czasie II wojny światowej.  </w:t>
      </w:r>
    </w:p>
    <w:p>
      <w:pPr>
        <w:pStyle w:val="Normal"/>
        <w:spacing w:lineRule="auto" w:line="240" w:before="0" w:after="0"/>
        <w:jc w:val="both"/>
        <w:rPr>
          <w:rFonts w:cs="Calibri" w:cstheme="minorHAnsi"/>
          <w:color w:val="000000"/>
          <w:szCs w:val="24"/>
          <w:highlight w:val="yellow"/>
        </w:rPr>
      </w:pPr>
      <w:r>
        <w:rPr>
          <w:rFonts w:cs="Calibri" w:cstheme="minorHAnsi"/>
          <w:color w:val="000000"/>
          <w:szCs w:val="24"/>
          <w:highlight w:val="yellow"/>
        </w:rPr>
      </w:r>
    </w:p>
    <w:p>
      <w:pPr>
        <w:pStyle w:val="Caption"/>
        <w:spacing w:lineRule="auto" w:line="240" w:before="0" w:after="0"/>
        <w:jc w:val="center"/>
        <w:rPr>
          <w:rFonts w:ascii="Calibri" w:hAnsi="Calibri" w:cs="Calibri" w:asciiTheme="minorHAnsi" w:cstheme="minorHAnsi" w:hAnsiTheme="minorHAnsi"/>
        </w:rPr>
      </w:pPr>
      <w:bookmarkStart w:id="13" w:name="_Toc118887437"/>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2</w:t>
      </w:r>
      <w:r>
        <w:rPr>
          <w:b w:val="false"/>
          <w:bCs w:val="false"/>
          <w:rFonts w:cs="Calibri"/>
        </w:rPr>
        <w:fldChar w:fldCharType="end"/>
      </w:r>
      <w:r>
        <w:rPr>
          <w:rFonts w:cs="Calibri" w:cstheme="minorHAnsi"/>
          <w:b w:val="false"/>
          <w:bCs w:val="false"/>
        </w:rPr>
        <w:t xml:space="preserve"> Baszta - kaplica pw. św. Rocha i Jacka w Nowych Kicharach</w:t>
      </w:r>
      <w:bookmarkEnd w:id="13"/>
      <w:r>
        <w:rPr>
          <w:rFonts w:cs="Calibri" w:cstheme="minorHAnsi"/>
          <w:b w:val="false"/>
          <w:bCs w:val="false"/>
        </w:rPr>
        <w:t xml:space="preserve"> </w:t>
      </w:r>
    </w:p>
    <w:p>
      <w:pPr>
        <w:pStyle w:val="Normal"/>
        <w:spacing w:lineRule="auto" w:line="240" w:before="0" w:after="0"/>
        <w:jc w:val="center"/>
        <w:rPr>
          <w:rFonts w:eastAsia="Calibri" w:cs="Calibri" w:cstheme="minorHAnsi"/>
          <w:sz w:val="20"/>
          <w:szCs w:val="20"/>
        </w:rPr>
      </w:pPr>
      <w:r>
        <w:rPr/>
        <w:drawing>
          <wp:inline distT="0" distB="0" distL="0" distR="0">
            <wp:extent cx="4036060" cy="2686050"/>
            <wp:effectExtent l="0" t="0" r="0" b="0"/>
            <wp:docPr id="3" name="Obraz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8" descr=""/>
                    <pic:cNvPicPr>
                      <a:picLocks noChangeAspect="1" noChangeArrowheads="1"/>
                    </pic:cNvPicPr>
                  </pic:nvPicPr>
                  <pic:blipFill>
                    <a:blip r:embed="rId5"/>
                    <a:stretch>
                      <a:fillRect/>
                    </a:stretch>
                  </pic:blipFill>
                  <pic:spPr bwMode="auto">
                    <a:xfrm>
                      <a:off x="0" y="0"/>
                      <a:ext cx="4036060" cy="2686050"/>
                    </a:xfrm>
                    <a:prstGeom prst="rect">
                      <a:avLst/>
                    </a:prstGeom>
                  </pic:spPr>
                </pic:pic>
              </a:graphicData>
            </a:graphic>
          </wp:inline>
        </w:drawing>
      </w:r>
    </w:p>
    <w:p>
      <w:pPr>
        <w:pStyle w:val="Normal"/>
        <w:spacing w:lineRule="auto" w:line="240" w:before="0" w:after="0"/>
        <w:jc w:val="center"/>
        <w:rPr>
          <w:rFonts w:eastAsia="Calibri" w:cs="Calibri" w:cstheme="minorHAnsi"/>
          <w:sz w:val="20"/>
          <w:szCs w:val="20"/>
        </w:rPr>
      </w:pPr>
      <w:r>
        <w:rPr>
          <w:rFonts w:eastAsia="Calibri" w:cs="Calibri" w:cstheme="minorHAnsi"/>
          <w:sz w:val="20"/>
          <w:szCs w:val="20"/>
        </w:rPr>
        <w:t>Źródło: https://dwikozy.gmina.pl/zabytki-na-terenie-gmina-dwikozy.html</w:t>
      </w:r>
    </w:p>
    <w:p>
      <w:pPr>
        <w:pStyle w:val="Normal"/>
        <w:spacing w:lineRule="auto" w:line="240" w:before="0" w:after="0"/>
        <w:jc w:val="both"/>
        <w:rPr>
          <w:rFonts w:cs="Calibri" w:cstheme="minorHAnsi"/>
          <w:color w:val="000000"/>
          <w:sz w:val="20"/>
          <w:szCs w:val="20"/>
          <w:highlight w:val="yellow"/>
        </w:rPr>
      </w:pPr>
      <w:r>
        <w:rPr>
          <w:rFonts w:cs="Calibri" w:cstheme="minorHAnsi"/>
          <w:color w:val="000000"/>
          <w:sz w:val="20"/>
          <w:szCs w:val="20"/>
          <w:highlight w:val="yellow"/>
        </w:rPr>
      </w:r>
    </w:p>
    <w:p>
      <w:pPr>
        <w:pStyle w:val="Normal"/>
        <w:spacing w:lineRule="auto" w:line="240" w:before="0" w:after="0"/>
        <w:jc w:val="both"/>
        <w:rPr>
          <w:rFonts w:cs="Calibri" w:cstheme="minorHAnsi"/>
          <w:color w:val="000000"/>
          <w:szCs w:val="24"/>
        </w:rPr>
      </w:pPr>
      <w:r>
        <w:rPr>
          <w:rFonts w:cs="Calibri" w:cstheme="minorHAnsi"/>
          <w:color w:val="000000"/>
          <w:szCs w:val="24"/>
        </w:rPr>
        <w:t>Na obszarze całej gminy można spotkać przydrożne krzyże i kapliczki. Oprócz dość typowych form tych niewielkich obiektów architektury sakralnej, w gminie występują również charakterystyczne tylko dla tego obszaru kapliczki — pomniki. Posiadają one cechy sztuki ludowej, czerpiącej wzorce ze stylów charakterystycznych dla różnych epok. Mają one postać prostopadłościanu, stojącego na niewielkim postumencie, w narożnikach którego umieszczone są cztery wieże, po środku znajduje się zaś ostrołukowo zwieńczony otwór ze świętą figurką. Nad prostopadłościanem wznosi się jakby wieloboczny hełm, zwężający się ku górze, zakończony krzyżem. Całość oglądana z daleka nosi wyraźne cechy gotyku, zwłaszcza charakterystyczną strzelistość. Tego typu obiekty można spotkać zarówno przy drogach, jak i na cmentarzach.</w:t>
      </w:r>
    </w:p>
    <w:p>
      <w:pPr>
        <w:pStyle w:val="Normal"/>
        <w:spacing w:lineRule="auto" w:line="240" w:before="0" w:after="0"/>
        <w:rPr>
          <w:rFonts w:eastAsia="Calibri" w:cs="Calibri" w:cstheme="minorHAnsi"/>
        </w:rPr>
      </w:pPr>
      <w:r>
        <w:rPr>
          <w:rFonts w:eastAsia="Calibri" w:cs="Calibri" w:cstheme="minorHAnsi"/>
        </w:rPr>
      </w:r>
    </w:p>
    <w:p>
      <w:pPr>
        <w:pStyle w:val="Caption"/>
        <w:spacing w:lineRule="auto" w:line="240" w:before="0" w:after="0"/>
        <w:jc w:val="center"/>
        <w:rPr>
          <w:rFonts w:ascii="Calibri" w:hAnsi="Calibri" w:cs="Calibri" w:asciiTheme="minorHAnsi" w:cstheme="minorHAnsi" w:hAnsiTheme="minorHAnsi"/>
        </w:rPr>
      </w:pPr>
      <w:bookmarkStart w:id="14" w:name="_Toc118887438"/>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3</w:t>
      </w:r>
      <w:r>
        <w:rPr>
          <w:b w:val="false"/>
          <w:bCs w:val="false"/>
          <w:rFonts w:cs="Calibri"/>
        </w:rPr>
        <w:fldChar w:fldCharType="end"/>
      </w:r>
      <w:r>
        <w:rPr>
          <w:rFonts w:cs="Calibri" w:cstheme="minorHAnsi"/>
        </w:rPr>
        <w:t xml:space="preserve"> </w:t>
      </w:r>
      <w:r>
        <w:rPr>
          <w:rFonts w:cs="Calibri" w:cstheme="minorHAnsi"/>
          <w:b w:val="false"/>
          <w:bCs w:val="false"/>
        </w:rPr>
        <w:t>Wotywny krzyż</w:t>
      </w:r>
      <w:bookmarkEnd w:id="14"/>
    </w:p>
    <w:p>
      <w:pPr>
        <w:pStyle w:val="Normal"/>
        <w:spacing w:lineRule="auto" w:line="240" w:before="0" w:after="0"/>
        <w:jc w:val="center"/>
        <w:rPr>
          <w:rFonts w:eastAsia="Times New Roman" w:cs="Calibri" w:cstheme="minorHAnsi"/>
          <w:b/>
          <w:b/>
          <w:bCs/>
          <w:sz w:val="20"/>
          <w:szCs w:val="20"/>
        </w:rPr>
      </w:pPr>
      <w:r>
        <w:rPr/>
        <w:drawing>
          <wp:inline distT="0" distB="0" distL="0" distR="0">
            <wp:extent cx="3401695" cy="2511425"/>
            <wp:effectExtent l="0" t="0" r="0" b="0"/>
            <wp:docPr id="4" name="Obraz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8" descr=""/>
                    <pic:cNvPicPr>
                      <a:picLocks noChangeAspect="1" noChangeArrowheads="1"/>
                    </pic:cNvPicPr>
                  </pic:nvPicPr>
                  <pic:blipFill>
                    <a:blip r:embed="rId6"/>
                    <a:srcRect l="4082" t="19119" r="26068" b="8036"/>
                    <a:stretch>
                      <a:fillRect/>
                    </a:stretch>
                  </pic:blipFill>
                  <pic:spPr bwMode="auto">
                    <a:xfrm>
                      <a:off x="0" y="0"/>
                      <a:ext cx="3401695" cy="2511425"/>
                    </a:xfrm>
                    <a:prstGeom prst="rect">
                      <a:avLst/>
                    </a:prstGeom>
                  </pic:spPr>
                </pic:pic>
              </a:graphicData>
            </a:graphic>
          </wp:inline>
        </w:drawing>
      </w:r>
    </w:p>
    <w:p>
      <w:pPr>
        <w:pStyle w:val="Normal"/>
        <w:spacing w:lineRule="auto" w:line="240" w:before="0" w:after="0"/>
        <w:jc w:val="center"/>
        <w:rPr>
          <w:rFonts w:cs="Calibri" w:cstheme="minorHAnsi"/>
          <w:sz w:val="20"/>
          <w:szCs w:val="20"/>
        </w:rPr>
      </w:pPr>
      <w:r>
        <w:rPr>
          <w:rFonts w:eastAsia="Calibri" w:cs="Calibri" w:cstheme="minorHAnsi"/>
          <w:sz w:val="20"/>
          <w:szCs w:val="20"/>
        </w:rPr>
        <w:t xml:space="preserve">Źródło: </w:t>
      </w:r>
      <w:r>
        <w:rPr>
          <w:rFonts w:cs="Calibri" w:cstheme="minorHAnsi"/>
          <w:sz w:val="20"/>
          <w:szCs w:val="20"/>
        </w:rPr>
        <w:t>http://www.polskaniezwykla.pl/web/place/31089,dwikozy-krzyz-wotywny.html</w:t>
      </w:r>
    </w:p>
    <w:p>
      <w:pPr>
        <w:pStyle w:val="Normal"/>
        <w:spacing w:lineRule="auto" w:line="240" w:before="0" w:after="0"/>
        <w:jc w:val="center"/>
        <w:rPr>
          <w:rFonts w:cs="Calibri" w:cstheme="minorHAnsi"/>
          <w:highlight w:val="yellow"/>
        </w:rPr>
      </w:pPr>
      <w:r>
        <w:rPr>
          <w:rFonts w:cs="Calibri" w:cstheme="minorHAnsi"/>
          <w:highlight w:val="yellow"/>
        </w:rPr>
      </w:r>
    </w:p>
    <w:p>
      <w:pPr>
        <w:pStyle w:val="Nagwek2"/>
        <w:numPr>
          <w:ilvl w:val="1"/>
          <w:numId w:val="1"/>
        </w:numPr>
        <w:spacing w:lineRule="auto" w:line="240" w:before="0" w:after="0"/>
        <w:ind w:left="426" w:hanging="432"/>
        <w:rPr>
          <w:rFonts w:ascii="Calibri" w:hAnsi="Calibri" w:cs="Calibri" w:asciiTheme="minorHAnsi" w:cstheme="minorHAnsi" w:hAnsiTheme="minorHAnsi"/>
          <w:i w:val="false"/>
          <w:i w:val="false"/>
          <w:iCs w:val="false"/>
        </w:rPr>
      </w:pPr>
      <w:bookmarkStart w:id="15" w:name="_Toc118887451"/>
      <w:r>
        <w:rPr>
          <w:rFonts w:cs="Calibri" w:ascii="Calibri" w:hAnsi="Calibri" w:asciiTheme="minorHAnsi" w:cstheme="minorHAnsi" w:hAnsiTheme="minorHAnsi"/>
          <w:i w:val="false"/>
          <w:iCs w:val="false"/>
        </w:rPr>
        <w:t>Obszary chronione na terenie Gminy Dwikozy</w:t>
      </w:r>
      <w:bookmarkEnd w:id="15"/>
    </w:p>
    <w:p>
      <w:pPr>
        <w:pStyle w:val="Normal"/>
        <w:spacing w:lineRule="auto" w:line="240" w:before="0" w:after="0"/>
        <w:rPr>
          <w:rFonts w:cs="Calibri" w:cstheme="minorHAnsi"/>
          <w:bCs/>
          <w:color w:val="000000"/>
          <w:sz w:val="12"/>
          <w:szCs w:val="12"/>
          <w:highlight w:val="yellow"/>
        </w:rPr>
      </w:pPr>
      <w:r>
        <w:rPr>
          <w:rFonts w:cs="Calibri" w:cstheme="minorHAnsi"/>
          <w:bCs/>
          <w:color w:val="000000"/>
          <w:sz w:val="12"/>
          <w:szCs w:val="12"/>
          <w:highlight w:val="yellow"/>
        </w:rPr>
      </w:r>
    </w:p>
    <w:p>
      <w:pPr>
        <w:pStyle w:val="Normal"/>
        <w:spacing w:lineRule="auto" w:line="240" w:before="0" w:after="0"/>
        <w:rPr>
          <w:rFonts w:cs="Calibri" w:cstheme="minorHAnsi"/>
          <w:bCs/>
          <w:color w:val="000000"/>
        </w:rPr>
      </w:pPr>
      <w:r>
        <w:rPr>
          <w:rFonts w:cs="Calibri" w:cstheme="minorHAnsi"/>
          <w:bCs/>
          <w:color w:val="000000"/>
        </w:rPr>
        <w:t>Na terenie gminy występują obszary prawnie chronione są to:</w:t>
      </w:r>
    </w:p>
    <w:p>
      <w:pPr>
        <w:pStyle w:val="Normal"/>
        <w:numPr>
          <w:ilvl w:val="0"/>
          <w:numId w:val="21"/>
        </w:numPr>
        <w:spacing w:lineRule="auto" w:line="240" w:before="0" w:after="0"/>
        <w:jc w:val="both"/>
        <w:rPr>
          <w:rFonts w:cs="Calibri" w:cstheme="minorHAnsi"/>
          <w:bCs/>
          <w:color w:val="000000"/>
        </w:rPr>
      </w:pPr>
      <w:bookmarkStart w:id="16" w:name="_Hlk66171409"/>
      <w:bookmarkEnd w:id="16"/>
      <w:r>
        <w:rPr>
          <w:rFonts w:cs="Calibri" w:cstheme="minorHAnsi"/>
          <w:bCs/>
          <w:color w:val="000000"/>
        </w:rPr>
        <w:t>Obszary NATURA 2000 Góry Pieprzowe</w:t>
      </w:r>
      <w:r>
        <w:rPr>
          <w:rFonts w:cs="Calibri" w:cstheme="minorHAnsi"/>
        </w:rPr>
        <w:t xml:space="preserve"> </w:t>
      </w:r>
      <w:r>
        <w:rPr>
          <w:rFonts w:cs="Calibri" w:cstheme="minorHAnsi"/>
          <w:bCs/>
          <w:color w:val="000000"/>
        </w:rPr>
        <w:tab/>
        <w:t>PLH260022 oraz Tarnobrzeska Dolina Wisły PLH180049,</w:t>
      </w:r>
    </w:p>
    <w:p>
      <w:pPr>
        <w:pStyle w:val="Normal"/>
        <w:numPr>
          <w:ilvl w:val="0"/>
          <w:numId w:val="21"/>
        </w:numPr>
        <w:spacing w:lineRule="auto" w:line="240" w:before="0" w:after="0"/>
        <w:jc w:val="both"/>
        <w:rPr>
          <w:rFonts w:cs="Calibri" w:cstheme="minorHAnsi"/>
          <w:bCs/>
          <w:color w:val="000000"/>
        </w:rPr>
      </w:pPr>
      <w:r>
        <w:rPr>
          <w:rFonts w:cs="Calibri" w:cstheme="minorHAnsi"/>
          <w:bCs/>
          <w:color w:val="000000"/>
        </w:rPr>
        <w:t>rezerwaty przyrody „Wisła pod Zawichostem” oraz „Góry Pieprzowe”</w:t>
      </w:r>
    </w:p>
    <w:p>
      <w:pPr>
        <w:pStyle w:val="Normal"/>
        <w:numPr>
          <w:ilvl w:val="0"/>
          <w:numId w:val="21"/>
        </w:numPr>
        <w:spacing w:lineRule="auto" w:line="240" w:before="0" w:after="0"/>
        <w:jc w:val="both"/>
        <w:rPr>
          <w:rFonts w:cs="Calibri" w:cstheme="minorHAnsi"/>
          <w:bCs/>
          <w:color w:val="000000"/>
        </w:rPr>
      </w:pPr>
      <w:r>
        <w:rPr>
          <w:rFonts w:cs="Calibri" w:cstheme="minorHAnsi"/>
          <w:bCs/>
          <w:color w:val="000000"/>
        </w:rPr>
        <w:t>1 pomnik przyrody,</w:t>
      </w:r>
    </w:p>
    <w:p>
      <w:pPr>
        <w:pStyle w:val="Normal"/>
        <w:numPr>
          <w:ilvl w:val="0"/>
          <w:numId w:val="21"/>
        </w:numPr>
        <w:spacing w:lineRule="auto" w:line="240" w:before="0" w:after="0"/>
        <w:jc w:val="both"/>
        <w:rPr>
          <w:rFonts w:cs="Calibri" w:cstheme="minorHAnsi"/>
          <w:bCs/>
          <w:color w:val="000000"/>
        </w:rPr>
      </w:pPr>
      <w:r>
        <w:rPr>
          <w:rFonts w:cs="Calibri" w:cstheme="minorHAnsi"/>
          <w:bCs/>
          <w:color w:val="000000"/>
        </w:rPr>
        <w:t xml:space="preserve">2 użytki ekologiczne: </w:t>
      </w:r>
    </w:p>
    <w:p>
      <w:pPr>
        <w:pStyle w:val="Normal"/>
        <w:spacing w:lineRule="auto" w:line="240" w:before="0" w:after="0"/>
        <w:ind w:left="720" w:hanging="0"/>
        <w:jc w:val="both"/>
        <w:rPr>
          <w:rFonts w:cs="Calibri" w:cstheme="minorHAnsi"/>
          <w:bCs/>
          <w:color w:val="000000"/>
        </w:rPr>
      </w:pPr>
      <w:r>
        <w:rPr>
          <w:rFonts w:cs="Calibri" w:cstheme="minorHAnsi"/>
          <w:bCs/>
          <w:color w:val="000000"/>
        </w:rPr>
        <w:t>- Panieńska Góra - stanowisko murawy kserotermicznej o charakterze stepu ostnicowego położonego w miejscowości Słupcza,</w:t>
      </w:r>
    </w:p>
    <w:p>
      <w:pPr>
        <w:pStyle w:val="Normal"/>
        <w:spacing w:lineRule="auto" w:line="240" w:before="0" w:after="0"/>
        <w:ind w:left="720" w:hanging="0"/>
        <w:jc w:val="both"/>
        <w:rPr>
          <w:rFonts w:cs="Calibri" w:cstheme="minorHAnsi"/>
          <w:bCs/>
          <w:color w:val="000000"/>
        </w:rPr>
      </w:pPr>
      <w:r>
        <w:rPr>
          <w:rFonts w:cs="Calibri" w:cstheme="minorHAnsi"/>
          <w:bCs/>
          <w:color w:val="000000"/>
        </w:rPr>
        <w:t>- bez nazwy - stanowisko muraw kserotermicznych i wąwóz z odsłonięciem profilu geologicznego położonego w miejscowości Góry Wysokie.</w:t>
      </w:r>
    </w:p>
    <w:p>
      <w:pPr>
        <w:pStyle w:val="Normal"/>
        <w:spacing w:lineRule="auto" w:line="240" w:before="0" w:after="0"/>
        <w:ind w:left="720" w:hanging="0"/>
        <w:jc w:val="both"/>
        <w:rPr>
          <w:rFonts w:cs="Calibri" w:cstheme="minorHAnsi"/>
          <w:bCs/>
          <w:color w:val="000000"/>
          <w:highlight w:val="yellow"/>
        </w:rPr>
      </w:pPr>
      <w:r>
        <w:rPr>
          <w:rFonts w:cs="Calibri" w:cstheme="minorHAnsi"/>
          <w:bCs/>
          <w:color w:val="000000"/>
          <w:highlight w:val="yellow"/>
        </w:rPr>
      </w:r>
      <w:bookmarkStart w:id="17" w:name="_Hlk66171409"/>
      <w:bookmarkStart w:id="18" w:name="_Hlk66171409"/>
      <w:bookmarkEnd w:id="18"/>
    </w:p>
    <w:p>
      <w:pPr>
        <w:pStyle w:val="Normal"/>
        <w:spacing w:lineRule="auto" w:line="240" w:before="0" w:after="0"/>
        <w:jc w:val="both"/>
        <w:rPr>
          <w:rFonts w:cs="Calibri" w:cstheme="minorHAnsi"/>
          <w:b/>
          <w:b/>
          <w:color w:val="000000"/>
        </w:rPr>
      </w:pPr>
      <w:r>
        <w:rPr>
          <w:rFonts w:cs="Calibri" w:cstheme="minorHAnsi"/>
          <w:b/>
          <w:color w:val="000000"/>
        </w:rPr>
        <w:t>Obszary NATURA 2000 Góry Pieprzowe</w:t>
      </w:r>
      <w:r>
        <w:rPr>
          <w:rFonts w:cs="Calibri" w:cstheme="minorHAnsi"/>
          <w:b/>
        </w:rPr>
        <w:t xml:space="preserve"> </w:t>
      </w:r>
      <w:r>
        <w:rPr>
          <w:rFonts w:cs="Calibri" w:cstheme="minorHAnsi"/>
          <w:b/>
          <w:color w:val="000000"/>
        </w:rPr>
        <w:t>PLH260022</w:t>
      </w:r>
    </w:p>
    <w:p>
      <w:pPr>
        <w:pStyle w:val="Normal"/>
        <w:spacing w:lineRule="auto" w:line="240" w:before="0" w:after="0"/>
        <w:jc w:val="both"/>
        <w:rPr>
          <w:rFonts w:cs="Calibri" w:cstheme="minorHAnsi"/>
          <w:bCs/>
          <w:color w:val="000000"/>
        </w:rPr>
      </w:pPr>
      <w:r>
        <w:rPr>
          <w:rFonts w:cs="Calibri" w:cstheme="minorHAnsi"/>
          <w:bCs/>
          <w:color w:val="000000"/>
        </w:rPr>
        <w:t xml:space="preserve">Ostoja Góry Pieprzowe obejmuje część krawędzi Wyżyny Sandomierskiej w pobliżu doliny Wisły na granicy Sandomierza i gm. Dwikozy. Obejmuje w całości rezerwat Góry Pieprzowe, starorzecze Wisły </w:t>
        <w:br/>
        <w:t xml:space="preserve">u jego podnóża oraz fragment zboczy doliny Wisły na północy od niego. Obszar posiada urozmaiconą rzeźbę z licznymi skarpami, wąwozami i rozcięciami erozyjnymi. Góry Pieprzowe należą do najstarszych górotworów na terenie kraju, a powstały prawdopodobnie 500 mln lat temu (środkowy kambr). Skałą budującą są w większości szare łupki ilaste, łupki kwarcowo-mikowe, piaskowce kwarcowo-wapienne, kwarcyty i zlepieńce, widoczne często jako drobny gruz skalny. W wielu miejscach łupki te tworzą obszerne odsłonięcia jedyne tego rodzaju w Polsce. Odsłonięcia utworów kambryjskich pokryte są młodszymi utworami czwartorzędowymi, lessem oraz gliną morenową. W miejscach o łagodniejszych stokach występują murawy kserotermiczne i zarośla krzewów z dużą liczbą różnych gatunków (w tym endemicznych) róż. Najczęstsze zbiorowiska roślinne występujące na tym terenie to murawy kserotermiczne z ostnicą włosowatą i palczatką kosmatą oraz zarośla kserotermiczne z dzikimi różami, tarniną, wisienką stepową, głogiem, berberysem pospolitym i ligustrem. Stwierdzono występowanie </w:t>
        <w:br/>
        <w:t>5 typów siedlisk przyrodniczych z załącznika I Dyrektywy Siedliskowej, zajmujących łącznie ponad 71 % obszaru. Najcenniejszym zbiorowiskiem roślinnym jest step ostnicowy z tworzącą go reliktową roślinnością. Rezerwat Góry Pieprzowe uważany jest za największe w kraju skupienie dziko rosnących róż, z takimi rzadkościami jak róża Kostrakiewicza i róża francuska. Niektóre z ich form zostały tu po raz pierwszy opisane. Dotychczas wykazano stąd 12 gatunków róż, co stanowi ponad 70% gatunków występujących w Polsce. Wiele z rosnących tu gatunków roślin podlega ochronie ścisłej, w tym m. in.: wiśnia karłowata, róża francuska, zawilec wielkokwiatowy, ostnica włosowata, dzwonek syberyjski, dziewięćsił bezłodygowy, goryczka krzyżowa. Stwierdzono tu także występowanie ponad 80 gatunków porostów oraz kilkudziesięciu gatunków mchów. Wysokie wartości przedstawiają także starorzecza doliny Wisły, zlokalizowane u podnóża rezerwatu, z masowym wystąpieniem kotewki orzech wodny. W bliskim sąsiedztwie starorzeczy występują także różne postacie łęgów, zwłaszcza wierzbowe. Niewielkie powierzchnie zajmują lasy grądowe, porastające głębokie wąwozy lub zbocza, stanowiące jednak w większości ich inicjalną fazę. Ostoja jest szczególnie ważna zwłaszcza ze względu na występowanie tu jednych z lepiej w skali kraju wykształconych muraw kserotermicznych, zwłaszcza ostnicowych z wieloma rzadkimi gatunkami roślin oraz starorzeczy z bogatą florą podwodnych lub nadwodnych makrofitów, zwłaszcza kotewka orzech wodny.</w:t>
      </w:r>
    </w:p>
    <w:p>
      <w:pPr>
        <w:pStyle w:val="Normal"/>
        <w:spacing w:lineRule="auto" w:line="240" w:before="0" w:after="0"/>
        <w:jc w:val="both"/>
        <w:rPr>
          <w:rFonts w:cs="Calibri" w:cstheme="minorHAnsi"/>
          <w:b/>
          <w:b/>
          <w:color w:val="000000"/>
          <w:highlight w:val="yellow"/>
        </w:rPr>
      </w:pPr>
      <w:r>
        <w:rPr>
          <w:rFonts w:cs="Calibri" w:cstheme="minorHAnsi"/>
          <w:b/>
          <w:color w:val="000000"/>
          <w:highlight w:val="yellow"/>
        </w:rPr>
      </w:r>
    </w:p>
    <w:p>
      <w:pPr>
        <w:pStyle w:val="Normal"/>
        <w:spacing w:lineRule="auto" w:line="240" w:before="0" w:after="0"/>
        <w:rPr>
          <w:rFonts w:cs="Calibri" w:cstheme="minorHAnsi"/>
          <w:b/>
          <w:b/>
          <w:color w:val="000000"/>
        </w:rPr>
      </w:pPr>
      <w:r>
        <w:rPr>
          <w:rFonts w:cs="Calibri" w:cstheme="minorHAnsi"/>
          <w:b/>
          <w:color w:val="000000"/>
        </w:rPr>
        <w:t>Obszary NATURA 2000  Tarnobrzeska Dolina Wisły PLH180049</w:t>
      </w:r>
    </w:p>
    <w:p>
      <w:pPr>
        <w:pStyle w:val="Normal"/>
        <w:spacing w:lineRule="auto" w:line="240" w:before="0" w:after="0"/>
        <w:jc w:val="both"/>
        <w:rPr>
          <w:rFonts w:cs="Calibri" w:cstheme="minorHAnsi"/>
        </w:rPr>
      </w:pPr>
      <w:bookmarkStart w:id="19" w:name="_Hlk66172449"/>
      <w:bookmarkEnd w:id="19"/>
      <w:r>
        <w:rPr>
          <w:rFonts w:cs="Calibri" w:cstheme="minorHAnsi"/>
        </w:rPr>
        <w:t xml:space="preserve">Odcinek Wisły od ujścia Wisłoki koło Połańca do Gór Pieprzowych pod Sandomierzem to obszar Tarnobrzeskiej Doliny Wisły wchodzący w skład ekosystemów Natura 2000. W całości położony na terenie Kotliny Sandomierskiej, Niziny Nadwiślańskiej, na styku województw podkarpackiego </w:t>
        <w:br/>
        <w:t>i świętokrzyskiego. Powierzchnia zajmowana przez obszar wynosi ponad 4 tys. ha i została powołana ze względu na szczególnie cenne walory przyrodnicze tego terenu, tj. występujące tu wodno-błotne zbiorowiska roślinne, które tworzą coraz rzadsze w naszym kraju typy siedlisk. Sama Wisła nadal uznawana jest za jedną z najdzikszych dużych rzek Europy. Na jej brzegi powrócił bóbr i wydra, stałym „bywalcem” stał się także orzeł bielik i bocian czarny</w:t>
      </w:r>
    </w:p>
    <w:p>
      <w:pPr>
        <w:pStyle w:val="Normal"/>
        <w:spacing w:lineRule="auto" w:line="240" w:before="0" w:after="0"/>
        <w:rPr>
          <w:rFonts w:cs="Calibri" w:cstheme="minorHAnsi"/>
        </w:rPr>
      </w:pPr>
      <w:r>
        <w:rPr>
          <w:rFonts w:cs="Calibri" w:cstheme="minorHAnsi"/>
        </w:rPr>
      </w:r>
    </w:p>
    <w:p>
      <w:pPr>
        <w:pStyle w:val="Normal"/>
        <w:spacing w:lineRule="auto" w:line="240" w:before="0" w:after="0"/>
        <w:jc w:val="both"/>
        <w:rPr>
          <w:rFonts w:cs="Calibri" w:cstheme="minorHAnsi"/>
          <w:b/>
          <w:b/>
          <w:color w:val="000000"/>
        </w:rPr>
      </w:pPr>
      <w:r>
        <w:rPr>
          <w:rFonts w:cs="Calibri" w:cstheme="minorHAnsi"/>
          <w:b/>
          <w:color w:val="000000"/>
        </w:rPr>
        <w:t>Rezerwat przyrody Góry Pieprzowe</w:t>
      </w:r>
    </w:p>
    <w:p>
      <w:pPr>
        <w:pStyle w:val="Normal"/>
        <w:spacing w:lineRule="auto" w:line="240" w:before="0" w:after="0"/>
        <w:jc w:val="both"/>
        <w:rPr>
          <w:rFonts w:cs="Calibri" w:cstheme="minorHAnsi"/>
          <w:bCs/>
          <w:color w:val="000000"/>
        </w:rPr>
      </w:pPr>
      <w:r>
        <w:rPr>
          <w:rFonts w:cs="Calibri" w:cstheme="minorHAnsi"/>
          <w:bCs/>
          <w:color w:val="000000"/>
        </w:rPr>
        <w:t>Rezerwat utworzony:</w:t>
      </w:r>
    </w:p>
    <w:p>
      <w:pPr>
        <w:pStyle w:val="ListParagraph"/>
        <w:numPr>
          <w:ilvl w:val="0"/>
          <w:numId w:val="53"/>
        </w:numPr>
        <w:spacing w:lineRule="auto" w:line="240" w:before="0" w:after="0"/>
        <w:jc w:val="both"/>
        <w:rPr>
          <w:rFonts w:cs="Calibri" w:cstheme="minorHAnsi"/>
          <w:bCs/>
          <w:color w:val="000000"/>
        </w:rPr>
      </w:pPr>
      <w:r>
        <w:rPr>
          <w:rFonts w:cs="Calibri" w:cstheme="minorHAnsi"/>
          <w:bCs/>
          <w:color w:val="000000"/>
        </w:rPr>
        <w:t>zarządzeniem Ministra Leśnictwa i Przemysłu Drzewnego z dnia 19 maja 1979 r. w sprawie uznania za rezerwaty przyrody (M.P. z 1979 r. Nr 13, poz. 77),</w:t>
      </w:r>
    </w:p>
    <w:p>
      <w:pPr>
        <w:pStyle w:val="ListParagraph"/>
        <w:numPr>
          <w:ilvl w:val="0"/>
          <w:numId w:val="53"/>
        </w:numPr>
        <w:spacing w:lineRule="auto" w:line="240" w:before="0" w:after="0"/>
        <w:jc w:val="both"/>
        <w:rPr>
          <w:rFonts w:cs="Calibri" w:cstheme="minorHAnsi"/>
          <w:bCs/>
          <w:color w:val="000000"/>
        </w:rPr>
      </w:pPr>
      <w:r>
        <w:rPr>
          <w:rFonts w:cs="Calibri" w:cstheme="minorHAnsi"/>
          <w:bCs/>
          <w:color w:val="000000"/>
        </w:rPr>
        <w:t xml:space="preserve">obwieszczenie Wojewody Świętokrzyskiego z 15.10.2001 r. (Dz. Urz. Woj. Święt. Nr 107 poz. 1270), </w:t>
      </w:r>
    </w:p>
    <w:p>
      <w:pPr>
        <w:pStyle w:val="ListParagraph"/>
        <w:numPr>
          <w:ilvl w:val="0"/>
          <w:numId w:val="53"/>
        </w:numPr>
        <w:spacing w:lineRule="auto" w:line="240" w:before="0" w:after="0"/>
        <w:jc w:val="both"/>
        <w:rPr>
          <w:rFonts w:cs="Calibri" w:cstheme="minorHAnsi"/>
          <w:bCs/>
          <w:color w:val="000000"/>
        </w:rPr>
      </w:pPr>
      <w:r>
        <w:rPr>
          <w:rFonts w:cs="Calibri" w:cstheme="minorHAnsi"/>
          <w:bCs/>
          <w:color w:val="000000"/>
        </w:rPr>
        <w:t xml:space="preserve">zarządzenie Regionalnego Dyrektora Ochrony Środowiska w Kielcach z dnia 20 września 2017 r. w sprawie rezerwatu przyrody Góry Pieprzowe. </w:t>
      </w:r>
    </w:p>
    <w:p>
      <w:pPr>
        <w:pStyle w:val="Normal"/>
        <w:spacing w:lineRule="auto" w:line="240" w:before="0" w:after="0"/>
        <w:jc w:val="both"/>
        <w:rPr>
          <w:rFonts w:cs="Calibri" w:cstheme="minorHAnsi"/>
          <w:bCs/>
          <w:color w:val="000000"/>
        </w:rPr>
      </w:pPr>
      <w:r>
        <w:rPr>
          <w:rFonts w:cs="Calibri" w:cstheme="minorHAnsi"/>
          <w:bCs/>
          <w:color w:val="000000"/>
        </w:rPr>
      </w:r>
    </w:p>
    <w:p>
      <w:pPr>
        <w:pStyle w:val="Normal"/>
        <w:spacing w:lineRule="auto" w:line="240" w:before="0" w:after="0"/>
        <w:jc w:val="both"/>
        <w:rPr>
          <w:rFonts w:cs="Calibri" w:cstheme="minorHAnsi"/>
          <w:bCs/>
          <w:color w:val="000000"/>
        </w:rPr>
      </w:pPr>
      <w:r>
        <w:rPr>
          <w:rFonts w:cs="Calibri" w:cstheme="minorHAnsi"/>
          <w:bCs/>
          <w:color w:val="000000"/>
        </w:rPr>
        <w:t>Rezerwat zajmuje powierzchnię 17,83 ha, a celem ochrony rezerwatu jest zachowanie fragmentów muraw i zarośli kserotermicznych z interesującą fauną owadów. Plan ochrony został ustanowiony na okres 20 lat zarządzeniem Regionalnego Dyrektora Ochrony Środowiska w Kielcach z 18.06.2015 r. (Dz. Urz. Woj. Święt. poz. 1934). Rodzaj rezerwatu: stepowy.</w:t>
      </w:r>
    </w:p>
    <w:p>
      <w:pPr>
        <w:pStyle w:val="Caption"/>
        <w:spacing w:lineRule="auto" w:line="240" w:before="0" w:after="0"/>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r>
    </w:p>
    <w:p>
      <w:pPr>
        <w:pStyle w:val="Caption"/>
        <w:spacing w:lineRule="auto" w:line="240" w:before="0" w:after="0"/>
        <w:jc w:val="center"/>
        <w:rPr>
          <w:rFonts w:ascii="Calibri" w:hAnsi="Calibri" w:cs="Calibri" w:asciiTheme="minorHAnsi" w:cstheme="minorHAnsi" w:hAnsiTheme="minorHAnsi"/>
          <w:b w:val="false"/>
          <w:b w:val="false"/>
          <w:bCs w:val="false"/>
          <w:color w:val="000000"/>
        </w:rPr>
      </w:pPr>
      <w:bookmarkStart w:id="20" w:name="_Toc118887439"/>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4</w:t>
      </w:r>
      <w:r>
        <w:rPr>
          <w:b w:val="false"/>
          <w:bCs w:val="false"/>
          <w:rFonts w:cs="Calibri"/>
        </w:rPr>
        <w:fldChar w:fldCharType="end"/>
      </w:r>
      <w:r>
        <w:rPr>
          <w:rFonts w:cs="Calibri" w:cstheme="minorHAnsi"/>
          <w:b w:val="false"/>
          <w:bCs w:val="false"/>
        </w:rPr>
        <w:t xml:space="preserve"> Góry Pieprzowe</w:t>
      </w:r>
      <w:bookmarkEnd w:id="20"/>
    </w:p>
    <w:p>
      <w:pPr>
        <w:pStyle w:val="Normal"/>
        <w:spacing w:lineRule="auto" w:line="240" w:before="0" w:after="0"/>
        <w:jc w:val="center"/>
        <w:rPr>
          <w:rFonts w:cs="Calibri" w:cstheme="minorHAnsi"/>
          <w:color w:val="000000"/>
          <w:sz w:val="20"/>
          <w:szCs w:val="20"/>
        </w:rPr>
      </w:pPr>
      <w:r>
        <w:rPr/>
        <w:drawing>
          <wp:inline distT="0" distB="0" distL="0" distR="0">
            <wp:extent cx="5810250" cy="4143375"/>
            <wp:effectExtent l="0" t="0" r="0" b="0"/>
            <wp:docPr id="5" name="Obraz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3" descr=""/>
                    <pic:cNvPicPr>
                      <a:picLocks noChangeAspect="1" noChangeArrowheads="1"/>
                    </pic:cNvPicPr>
                  </pic:nvPicPr>
                  <pic:blipFill>
                    <a:blip r:embed="rId7"/>
                    <a:stretch>
                      <a:fillRect/>
                    </a:stretch>
                  </pic:blipFill>
                  <pic:spPr bwMode="auto">
                    <a:xfrm>
                      <a:off x="0" y="0"/>
                      <a:ext cx="5810250" cy="4143375"/>
                    </a:xfrm>
                    <a:prstGeom prst="rect">
                      <a:avLst/>
                    </a:prstGeom>
                  </pic:spPr>
                </pic:pic>
              </a:graphicData>
            </a:graphic>
          </wp:inline>
        </w:drawing>
      </w:r>
    </w:p>
    <w:p>
      <w:pPr>
        <w:pStyle w:val="Normal"/>
        <w:spacing w:lineRule="auto" w:line="240" w:before="0" w:after="0"/>
        <w:jc w:val="center"/>
        <w:rPr>
          <w:rFonts w:cs="Calibri" w:cstheme="minorHAnsi"/>
          <w:bCs/>
          <w:i/>
          <w:i/>
          <w:iCs/>
          <w:color w:val="000000"/>
          <w:sz w:val="20"/>
          <w:szCs w:val="20"/>
        </w:rPr>
      </w:pPr>
      <w:r>
        <w:rPr>
          <w:rFonts w:cs="Calibri" w:cstheme="minorHAnsi"/>
          <w:bCs/>
          <w:i/>
          <w:iCs/>
          <w:color w:val="000000"/>
          <w:sz w:val="20"/>
          <w:szCs w:val="20"/>
        </w:rPr>
        <w:t>źródło: http://www.przewodnicy.sandomierz.pl/gory-pieprzowe-w-sandomierzu</w:t>
      </w:r>
    </w:p>
    <w:p>
      <w:pPr>
        <w:pStyle w:val="Normal"/>
        <w:spacing w:lineRule="auto" w:line="240" w:before="0" w:after="0"/>
        <w:jc w:val="both"/>
        <w:rPr>
          <w:rFonts w:cs="Calibri" w:cstheme="minorHAnsi"/>
          <w:b/>
          <w:b/>
          <w:color w:val="000000"/>
          <w:highlight w:val="yellow"/>
        </w:rPr>
      </w:pPr>
      <w:r>
        <w:rPr>
          <w:rFonts w:cs="Calibri" w:cstheme="minorHAnsi"/>
          <w:b/>
          <w:color w:val="000000"/>
          <w:highlight w:val="yellow"/>
        </w:rPr>
      </w:r>
    </w:p>
    <w:p>
      <w:pPr>
        <w:pStyle w:val="Normal"/>
        <w:spacing w:lineRule="auto" w:line="240" w:before="0" w:after="0"/>
        <w:jc w:val="both"/>
        <w:rPr>
          <w:rFonts w:cs="Calibri" w:cstheme="minorHAnsi"/>
          <w:b/>
          <w:b/>
          <w:color w:val="000000"/>
        </w:rPr>
      </w:pPr>
      <w:r>
        <w:rPr>
          <w:rFonts w:cs="Calibri" w:cstheme="minorHAnsi"/>
          <w:b/>
          <w:color w:val="000000"/>
        </w:rPr>
        <w:t>Rezerwat przyrody Wisła pod Zawichostem</w:t>
      </w:r>
    </w:p>
    <w:p>
      <w:pPr>
        <w:pStyle w:val="Normal"/>
        <w:spacing w:lineRule="auto" w:line="240" w:before="0" w:after="0"/>
        <w:jc w:val="both"/>
        <w:rPr>
          <w:rFonts w:cs="Calibri" w:cstheme="minorHAnsi"/>
          <w:bCs/>
          <w:color w:val="000000"/>
        </w:rPr>
      </w:pPr>
      <w:r>
        <w:rPr>
          <w:rFonts w:cs="Calibri" w:cstheme="minorHAnsi"/>
          <w:bCs/>
          <w:color w:val="000000"/>
        </w:rPr>
        <w:t xml:space="preserve">Specyficzny krajobraz przyrodniczy rzeki Wisły, stanowiącej krajowy korytarz ekologiczny został objęty prawną ochroną przyrody jako rezerwat „Wisła pod Zawichostem”. Został on utworzony Rozporządzeniem Nr 12/2008 Wojewody Świętokrzyskiego z 09.10.2008 r. (Dz. Urz. Woj. Święt. Nr 217 poz. 2907) i zajmuje powierzchnię 665,83 ha, a jest zlokalizowany na terenie gmin Dwikozy </w:t>
        <w:br/>
        <w:t xml:space="preserve">i Zawichost. Celem ochrony jest zachowanie ze względów społecznych, naukowych i dydaktycznych ostoi lęgowych, miejsc żerowania i odpoczynku podczas wędrówek rzadkich, charakterystycznych dla doliny Wisły gatunków ptaków, w szczególności z rzędu siewkowych Charadriiformes. Rodzaj rezerwatu: faunistyczny. </w:t>
      </w:r>
    </w:p>
    <w:p>
      <w:pPr>
        <w:pStyle w:val="Caption"/>
        <w:spacing w:lineRule="auto" w:line="240" w:before="0" w:after="0"/>
        <w:rPr>
          <w:rFonts w:ascii="Calibri" w:hAnsi="Calibri" w:cs="Calibri" w:asciiTheme="minorHAnsi" w:cstheme="minorHAnsi" w:hAnsiTheme="minorHAnsi"/>
          <w:sz w:val="22"/>
          <w:szCs w:val="22"/>
        </w:rPr>
      </w:pPr>
      <w:r>
        <w:rPr>
          <w:rFonts w:cs="Calibri" w:cstheme="minorHAnsi"/>
          <w:sz w:val="22"/>
          <w:szCs w:val="22"/>
        </w:rPr>
      </w:r>
      <w:bookmarkStart w:id="21" w:name="_Toc66173011"/>
      <w:bookmarkStart w:id="22" w:name="_Toc55567309"/>
      <w:bookmarkStart w:id="23" w:name="_Toc66173011"/>
      <w:bookmarkStart w:id="24" w:name="_Toc55567309"/>
    </w:p>
    <w:p>
      <w:pPr>
        <w:pStyle w:val="Caption"/>
        <w:spacing w:lineRule="auto" w:line="240" w:before="0" w:after="0"/>
        <w:rPr>
          <w:rFonts w:ascii="Calibri" w:hAnsi="Calibri" w:cs="Calibri" w:asciiTheme="minorHAnsi" w:cstheme="minorHAnsi" w:hAnsiTheme="minorHAnsi"/>
          <w:sz w:val="22"/>
          <w:szCs w:val="22"/>
        </w:rPr>
      </w:pPr>
      <w:r>
        <w:rPr>
          <w:rFonts w:cs="Calibri" w:cstheme="minorHAnsi"/>
          <w:sz w:val="22"/>
          <w:szCs w:val="22"/>
        </w:rPr>
        <w:t>Pomnik przyrody</w:t>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5" w:name="_Toc118887751"/>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2</w:t>
      </w:r>
      <w:r>
        <w:rPr>
          <w:b w:val="false"/>
          <w:bCs w:val="false"/>
          <w:rFonts w:cs="Calibri"/>
        </w:rPr>
        <w:fldChar w:fldCharType="end"/>
      </w:r>
      <w:r>
        <w:rPr>
          <w:rFonts w:cs="Calibri" w:cstheme="minorHAnsi"/>
          <w:b w:val="false"/>
          <w:bCs w:val="false"/>
        </w:rPr>
        <w:t xml:space="preserve"> Wykaz pomników przyrody w Gminie </w:t>
      </w:r>
      <w:bookmarkEnd w:id="23"/>
      <w:bookmarkEnd w:id="24"/>
      <w:r>
        <w:rPr>
          <w:rFonts w:cs="Calibri" w:cstheme="minorHAnsi"/>
          <w:b w:val="false"/>
          <w:bCs w:val="false"/>
        </w:rPr>
        <w:t>Dwikozy</w:t>
      </w:r>
      <w:bookmarkEnd w:id="25"/>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67"/>
        <w:gridCol w:w="2369"/>
        <w:gridCol w:w="1318"/>
        <w:gridCol w:w="1414"/>
        <w:gridCol w:w="2624"/>
      </w:tblGrid>
      <w:tr>
        <w:trPr>
          <w:trHeight w:val="133" w:hRule="atLeast"/>
        </w:trPr>
        <w:tc>
          <w:tcPr>
            <w:tcW w:w="146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sz w:val="20"/>
                <w:szCs w:val="20"/>
              </w:rPr>
            </w:pPr>
            <w:bookmarkStart w:id="26" w:name="_Hlk118560459"/>
            <w:r>
              <w:rPr>
                <w:rFonts w:cs="Calibri" w:cstheme="minorHAnsi"/>
                <w:b/>
                <w:bCs/>
                <w:sz w:val="20"/>
                <w:szCs w:val="20"/>
              </w:rPr>
              <w:t>Nazwa</w:t>
            </w:r>
          </w:p>
        </w:tc>
        <w:tc>
          <w:tcPr>
            <w:tcW w:w="236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ind w:firstLine="41"/>
              <w:jc w:val="center"/>
              <w:rPr>
                <w:rFonts w:cs="Calibri" w:cstheme="minorHAnsi"/>
                <w:b/>
                <w:b/>
                <w:bCs/>
                <w:sz w:val="20"/>
                <w:szCs w:val="20"/>
              </w:rPr>
            </w:pPr>
            <w:r>
              <w:rPr>
                <w:rFonts w:cs="Calibri" w:cstheme="minorHAnsi"/>
                <w:b/>
                <w:bCs/>
                <w:sz w:val="20"/>
                <w:szCs w:val="20"/>
              </w:rPr>
              <w:t>Opis</w:t>
            </w:r>
          </w:p>
        </w:tc>
        <w:tc>
          <w:tcPr>
            <w:tcW w:w="131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sz w:val="20"/>
                <w:szCs w:val="20"/>
              </w:rPr>
            </w:pPr>
            <w:r>
              <w:rPr>
                <w:rFonts w:cs="Calibri" w:cstheme="minorHAnsi"/>
                <w:b/>
                <w:bCs/>
                <w:sz w:val="20"/>
                <w:szCs w:val="20"/>
              </w:rPr>
              <w:t>Miejscowość</w:t>
            </w:r>
          </w:p>
        </w:tc>
        <w:tc>
          <w:tcPr>
            <w:tcW w:w="141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sz w:val="20"/>
                <w:szCs w:val="20"/>
              </w:rPr>
            </w:pPr>
            <w:r>
              <w:rPr>
                <w:rFonts w:cs="Calibri" w:cstheme="minorHAnsi"/>
                <w:b/>
                <w:bCs/>
                <w:sz w:val="20"/>
                <w:szCs w:val="20"/>
              </w:rPr>
              <w:t>Data ustanowienia</w:t>
            </w:r>
          </w:p>
        </w:tc>
        <w:tc>
          <w:tcPr>
            <w:tcW w:w="262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ind w:firstLine="34"/>
              <w:jc w:val="center"/>
              <w:rPr>
                <w:rFonts w:cs="Calibri" w:cstheme="minorHAnsi"/>
                <w:b/>
                <w:b/>
                <w:bCs/>
                <w:sz w:val="20"/>
                <w:szCs w:val="20"/>
              </w:rPr>
            </w:pPr>
            <w:r>
              <w:rPr>
                <w:rFonts w:cs="Calibri" w:cstheme="minorHAnsi"/>
                <w:b/>
                <w:bCs/>
                <w:sz w:val="20"/>
                <w:szCs w:val="20"/>
              </w:rPr>
              <w:t>Opis lokalizacji</w:t>
            </w:r>
          </w:p>
        </w:tc>
      </w:tr>
      <w:tr>
        <w:trPr>
          <w:trHeight w:val="133" w:hRule="atLeast"/>
        </w:trPr>
        <w:tc>
          <w:tcPr>
            <w:tcW w:w="14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Jesion wyniosły</w:t>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firstLine="41"/>
              <w:jc w:val="center"/>
              <w:rPr>
                <w:rFonts w:cs="Calibri" w:cstheme="minorHAnsi"/>
              </w:rPr>
            </w:pPr>
            <w:r>
              <w:rPr>
                <w:rFonts w:cs="Calibri" w:cstheme="minorHAnsi"/>
              </w:rPr>
              <w:t>wysokość 21 m</w:t>
            </w:r>
          </w:p>
          <w:p>
            <w:pPr>
              <w:pStyle w:val="Normal"/>
              <w:widowControl w:val="false"/>
              <w:spacing w:lineRule="auto" w:line="240" w:before="0" w:after="0"/>
              <w:ind w:firstLine="41"/>
              <w:jc w:val="center"/>
              <w:rPr>
                <w:rFonts w:cs="Calibri" w:cstheme="minorHAnsi"/>
              </w:rPr>
            </w:pPr>
            <w:r>
              <w:rPr>
                <w:rFonts w:cs="Calibri" w:cstheme="minorHAnsi"/>
              </w:rPr>
              <w:t>pierśnica 136 m, obwód 427 m</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Winiary</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20.03.1997</w:t>
            </w:r>
          </w:p>
        </w:tc>
        <w:tc>
          <w:tcPr>
            <w:tcW w:w="2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firstLine="34"/>
              <w:jc w:val="center"/>
              <w:rPr>
                <w:rFonts w:cs="Calibri" w:cstheme="minorHAnsi"/>
              </w:rPr>
            </w:pPr>
            <w:bookmarkStart w:id="27" w:name="_Hlk118560459"/>
            <w:r>
              <w:rPr>
                <w:rFonts w:cs="Calibri" w:cstheme="minorHAnsi"/>
              </w:rPr>
              <w:t xml:space="preserve">w pasie drogowym drogi wojewódzkiej nr 777, przy przystanku Winiary I, </w:t>
              <w:br/>
              <w:t>w pobliżu szkoły podstawowej</w:t>
            </w:r>
            <w:bookmarkEnd w:id="27"/>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rejestru pomników przyrody województwa świętokrzyskiego</w:t>
      </w:r>
      <w:bookmarkStart w:id="28" w:name="_Toc64635296"/>
      <w:bookmarkStart w:id="29" w:name="_Toc55567286"/>
    </w:p>
    <w:p>
      <w:pPr>
        <w:pStyle w:val="Normal"/>
        <w:spacing w:lineRule="auto" w:line="240" w:before="0" w:after="0"/>
        <w:jc w:val="center"/>
        <w:rPr>
          <w:rFonts w:cs="Calibri" w:cstheme="minorHAnsi"/>
          <w:i/>
          <w:i/>
          <w:iCs/>
        </w:rPr>
      </w:pPr>
      <w:r>
        <w:rPr>
          <w:rFonts w:cs="Calibri" w:cstheme="minorHAnsi"/>
          <w:i/>
          <w:iCs/>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30" w:name="_Toc118887433"/>
      <w:r>
        <w:rPr>
          <w:rFonts w:cs="Calibri" w:cstheme="minorHAnsi"/>
          <w:b w:val="false"/>
          <w:bCs w:val="false"/>
        </w:rPr>
        <w:t xml:space="preserve">Mapa </w:t>
      </w:r>
      <w:r>
        <w:rPr>
          <w:rFonts w:cs="Calibri" w:cstheme="minorHAnsi"/>
          <w:b w:val="false"/>
          <w:bCs w:val="false"/>
        </w:rPr>
        <w:fldChar w:fldCharType="begin"/>
      </w:r>
      <w:r>
        <w:rPr>
          <w:b w:val="false"/>
          <w:bCs w:val="false"/>
          <w:rFonts w:cs="Calibri"/>
        </w:rPr>
        <w:instrText xml:space="preserve"> SEQ Mapa \* ARABIC </w:instrText>
      </w:r>
      <w:r>
        <w:rPr>
          <w:b w:val="false"/>
          <w:bCs w:val="false"/>
          <w:rFonts w:cs="Calibri"/>
        </w:rPr>
        <w:fldChar w:fldCharType="separate"/>
      </w:r>
      <w:r>
        <w:rPr>
          <w:b w:val="false"/>
          <w:bCs w:val="false"/>
          <w:rFonts w:cs="Calibri"/>
        </w:rPr>
        <w:t>1</w:t>
      </w:r>
      <w:r>
        <w:rPr>
          <w:b w:val="false"/>
          <w:bCs w:val="false"/>
          <w:rFonts w:cs="Calibri"/>
        </w:rPr>
        <w:fldChar w:fldCharType="end"/>
      </w:r>
      <w:r>
        <w:rPr>
          <w:rFonts w:cs="Calibri" w:cstheme="minorHAnsi"/>
          <w:b w:val="false"/>
          <w:bCs w:val="false"/>
        </w:rPr>
        <w:t xml:space="preserve"> Obszary chronione na ternie Gminy </w:t>
      </w:r>
      <w:bookmarkEnd w:id="28"/>
      <w:bookmarkEnd w:id="29"/>
      <w:r>
        <w:rPr>
          <w:rFonts w:cs="Calibri" w:cstheme="minorHAnsi"/>
          <w:b w:val="false"/>
          <w:bCs w:val="false"/>
        </w:rPr>
        <w:t>Dwikozy</w:t>
      </w:r>
      <w:bookmarkEnd w:id="30"/>
    </w:p>
    <w:p>
      <w:pPr>
        <w:pStyle w:val="Normal"/>
        <w:spacing w:lineRule="auto" w:line="240" w:before="0" w:after="0"/>
        <w:ind w:left="-426" w:hanging="0"/>
        <w:jc w:val="center"/>
        <w:rPr>
          <w:rFonts w:cs="Calibri" w:cstheme="minorHAnsi"/>
        </w:rPr>
      </w:pPr>
      <w:r>
        <w:rPr/>
        <w:drawing>
          <wp:inline distT="0" distB="0" distL="0" distR="0">
            <wp:extent cx="4603750" cy="6054725"/>
            <wp:effectExtent l="0" t="0" r="0" b="0"/>
            <wp:docPr id="6" name="Obraz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4" descr=""/>
                    <pic:cNvPicPr>
                      <a:picLocks noChangeAspect="1" noChangeArrowheads="1"/>
                    </pic:cNvPicPr>
                  </pic:nvPicPr>
                  <pic:blipFill>
                    <a:blip r:embed="rId8"/>
                    <a:stretch>
                      <a:fillRect/>
                    </a:stretch>
                  </pic:blipFill>
                  <pic:spPr bwMode="auto">
                    <a:xfrm>
                      <a:off x="0" y="0"/>
                      <a:ext cx="4603750" cy="6054725"/>
                    </a:xfrm>
                    <a:prstGeom prst="rect">
                      <a:avLst/>
                    </a:prstGeom>
                  </pic:spPr>
                </pic:pic>
              </a:graphicData>
            </a:graphic>
          </wp:inline>
        </w:drawing>
      </w:r>
    </w:p>
    <w:p>
      <w:pPr>
        <w:pStyle w:val="Normal"/>
        <w:spacing w:lineRule="auto" w:line="240" w:before="0" w:after="0"/>
        <w:jc w:val="center"/>
        <w:rPr>
          <w:rFonts w:cs="Calibri" w:cstheme="minorHAnsi"/>
          <w:i/>
          <w:i/>
          <w:iCs/>
          <w:sz w:val="20"/>
          <w:szCs w:val="20"/>
        </w:rPr>
      </w:pPr>
      <w:r>
        <w:rPr>
          <w:rFonts w:cs="Calibri" w:cstheme="minorHAnsi"/>
          <w:i/>
          <w:iCs/>
          <w:sz w:val="20"/>
          <w:szCs w:val="20"/>
        </w:rPr>
        <w:t>Źródło: http://geoserwis.gdos.gov.pl/mapy/</w:t>
      </w:r>
    </w:p>
    <w:p>
      <w:pPr>
        <w:pStyle w:val="Normal"/>
        <w:widowControl w:val="false"/>
        <w:spacing w:lineRule="auto" w:line="240" w:before="0" w:after="0"/>
        <w:jc w:val="both"/>
        <w:rPr>
          <w:rFonts w:eastAsia="Times New Roman" w:cs="Calibri" w:cstheme="minorHAnsi"/>
          <w:sz w:val="20"/>
          <w:szCs w:val="20"/>
          <w:lang w:eastAsia="pl-PL"/>
        </w:rPr>
      </w:pPr>
      <w:r>
        <w:rPr>
          <w:rFonts w:eastAsia="Times New Roman" w:cs="Calibri" w:cstheme="minorHAnsi"/>
          <w:b/>
          <w:sz w:val="20"/>
          <w:szCs w:val="20"/>
          <w:lang w:eastAsia="pl-PL"/>
        </w:rPr>
        <w:t xml:space="preserve">Legenda: </w:t>
      </w:r>
      <w:r>
        <w:rPr>
          <w:rFonts w:eastAsia="Wingdings" w:cs="Wingdings" w:ascii="Wingdings" w:hAnsi="Wingdings"/>
          <w:color w:val="E36C0A"/>
          <w:sz w:val="20"/>
          <w:szCs w:val="20"/>
          <w:lang w:eastAsia="pl-PL"/>
        </w:rPr>
        <w:t></w:t>
      </w:r>
      <w:r>
        <w:rPr>
          <w:rFonts w:eastAsia="Times New Roman" w:cs="Calibri" w:cstheme="minorHAnsi"/>
          <w:color w:val="E36C0A"/>
          <w:sz w:val="20"/>
          <w:szCs w:val="20"/>
          <w:lang w:eastAsia="pl-PL"/>
        </w:rPr>
        <w:t xml:space="preserve"> </w:t>
      </w:r>
      <w:r>
        <w:rPr>
          <w:rFonts w:eastAsia="Times New Roman" w:cs="Calibri" w:cstheme="minorHAnsi"/>
          <w:sz w:val="20"/>
          <w:szCs w:val="20"/>
          <w:lang w:eastAsia="pl-PL"/>
        </w:rPr>
        <w:t>Rezerwaty</w:t>
      </w:r>
      <w:r>
        <w:rPr>
          <w:rFonts w:eastAsia="Times New Roman" w:cs="Calibri" w:cstheme="minorHAnsi"/>
          <w:b/>
          <w:sz w:val="20"/>
          <w:szCs w:val="20"/>
          <w:lang w:eastAsia="pl-PL"/>
        </w:rPr>
        <w:t xml:space="preserve"> </w:t>
      </w:r>
      <w:r>
        <w:rPr>
          <w:rFonts w:eastAsia="Wingdings" w:cs="Wingdings" w:ascii="Wingdings" w:hAnsi="Wingdings"/>
          <w:color w:val="FFFF00"/>
          <w:sz w:val="20"/>
          <w:szCs w:val="20"/>
          <w:lang w:eastAsia="pl-PL"/>
        </w:rPr>
        <w:t></w:t>
      </w:r>
      <w:r>
        <w:rPr>
          <w:rFonts w:eastAsia="Times New Roman" w:cs="Calibri" w:cstheme="minorHAnsi"/>
          <w:color w:val="FFFF00"/>
          <w:sz w:val="20"/>
          <w:szCs w:val="20"/>
          <w:lang w:eastAsia="pl-PL"/>
        </w:rPr>
        <w:t xml:space="preserve"> </w:t>
      </w:r>
      <w:r>
        <w:rPr>
          <w:rFonts w:eastAsia="Times New Roman" w:cs="Calibri" w:cstheme="minorHAnsi"/>
          <w:sz w:val="20"/>
          <w:szCs w:val="20"/>
          <w:lang w:eastAsia="pl-PL"/>
        </w:rPr>
        <w:t>Parki Krajobrazowe</w:t>
      </w:r>
      <w:r>
        <w:rPr>
          <w:rFonts w:eastAsia="Times New Roman" w:cs="Calibri" w:cstheme="minorHAnsi"/>
          <w:b/>
          <w:sz w:val="20"/>
          <w:szCs w:val="20"/>
          <w:lang w:eastAsia="pl-PL"/>
        </w:rPr>
        <w:t xml:space="preserve"> </w:t>
      </w:r>
      <w:r>
        <w:rPr>
          <w:rFonts w:eastAsia="Wingdings" w:cs="Wingdings" w:ascii="Wingdings" w:hAnsi="Wingdings"/>
          <w:color w:val="00B050"/>
          <w:sz w:val="20"/>
          <w:szCs w:val="20"/>
          <w:lang w:eastAsia="pl-PL"/>
        </w:rPr>
        <w:t></w:t>
      </w:r>
      <w:r>
        <w:rPr>
          <w:rFonts w:eastAsia="Times New Roman" w:cs="Calibri" w:cstheme="minorHAnsi"/>
          <w:color w:val="00B050"/>
          <w:sz w:val="20"/>
          <w:szCs w:val="20"/>
          <w:lang w:eastAsia="pl-PL"/>
        </w:rPr>
        <w:t xml:space="preserve"> </w:t>
      </w:r>
      <w:r>
        <w:rPr>
          <w:rFonts w:eastAsia="Times New Roman" w:cs="Calibri" w:cstheme="minorHAnsi"/>
          <w:sz w:val="20"/>
          <w:szCs w:val="20"/>
          <w:lang w:eastAsia="pl-PL"/>
        </w:rPr>
        <w:t>Parki Narodowe</w:t>
      </w:r>
      <w:r>
        <w:rPr>
          <w:rFonts w:eastAsia="Times New Roman" w:cs="Calibri" w:cstheme="minorHAnsi"/>
          <w:b/>
          <w:sz w:val="20"/>
          <w:szCs w:val="20"/>
          <w:lang w:eastAsia="pl-PL"/>
        </w:rPr>
        <w:t xml:space="preserve"> </w:t>
      </w:r>
      <w:r>
        <w:rPr>
          <w:rFonts w:eastAsia="Wingdings" w:cs="Wingdings" w:ascii="Wingdings" w:hAnsi="Wingdings"/>
          <w:color w:val="943634"/>
          <w:sz w:val="20"/>
          <w:szCs w:val="20"/>
          <w:lang w:eastAsia="pl-PL"/>
        </w:rPr>
        <w:t></w:t>
      </w:r>
      <w:r>
        <w:rPr>
          <w:rFonts w:eastAsia="Times New Roman" w:cs="Calibri" w:cstheme="minorHAnsi"/>
          <w:sz w:val="20"/>
          <w:szCs w:val="20"/>
          <w:lang w:eastAsia="pl-PL"/>
        </w:rPr>
        <w:t xml:space="preserve"> Obszar Chronionego Krajobrazu</w:t>
      </w:r>
      <w:r>
        <w:rPr>
          <w:rFonts w:eastAsia="Times New Roman" w:cs="Calibri" w:cstheme="minorHAnsi"/>
          <w:b/>
          <w:sz w:val="20"/>
          <w:szCs w:val="20"/>
          <w:lang w:eastAsia="pl-PL"/>
        </w:rPr>
        <w:t xml:space="preserve"> </w:t>
      </w:r>
      <w:r>
        <w:rPr>
          <w:rFonts w:eastAsia="Wingdings" w:cs="Wingdings" w:ascii="Wingdings" w:hAnsi="Wingdings"/>
          <w:color w:val="FF0066"/>
          <w:sz w:val="20"/>
          <w:szCs w:val="20"/>
          <w:lang w:eastAsia="pl-PL"/>
        </w:rPr>
        <w:t></w:t>
      </w:r>
      <w:r>
        <w:rPr>
          <w:rFonts w:eastAsia="Times New Roman" w:cs="Calibri" w:cstheme="minorHAnsi"/>
          <w:sz w:val="20"/>
          <w:szCs w:val="20"/>
          <w:lang w:eastAsia="pl-PL"/>
        </w:rPr>
        <w:t xml:space="preserve"> Zespoły Przyrodniczo Krajobrazowe</w:t>
      </w:r>
      <w:r>
        <w:rPr>
          <w:rFonts w:eastAsia="Times New Roman" w:cs="Calibri" w:cstheme="minorHAnsi"/>
          <w:b/>
          <w:sz w:val="20"/>
          <w:szCs w:val="20"/>
          <w:lang w:eastAsia="pl-PL"/>
        </w:rPr>
        <w:t xml:space="preserve"> </w:t>
      </w:r>
      <w:r>
        <w:rPr>
          <w:rFonts w:eastAsia="Wingdings" w:cs="Wingdings" w:ascii="Wingdings" w:hAnsi="Wingdings"/>
          <w:color w:val="00B0F0"/>
          <w:sz w:val="20"/>
          <w:szCs w:val="20"/>
          <w:lang w:eastAsia="pl-PL"/>
        </w:rPr>
        <w:t></w:t>
      </w:r>
      <w:r>
        <w:rPr>
          <w:rFonts w:eastAsia="Times New Roman" w:cs="Calibri" w:cstheme="minorHAnsi"/>
          <w:sz w:val="20"/>
          <w:szCs w:val="20"/>
          <w:lang w:eastAsia="pl-PL"/>
        </w:rPr>
        <w:t xml:space="preserve"> Natura 2000 – obszary ptasie</w:t>
      </w:r>
      <w:r>
        <w:rPr>
          <w:rFonts w:eastAsia="Times New Roman" w:cs="Calibri" w:cstheme="minorHAnsi"/>
          <w:b/>
          <w:sz w:val="20"/>
          <w:szCs w:val="20"/>
          <w:lang w:eastAsia="pl-PL"/>
        </w:rPr>
        <w:t xml:space="preserve"> </w:t>
      </w:r>
      <w:r>
        <w:rPr>
          <w:rFonts w:eastAsia="Wingdings" w:cs="Wingdings" w:ascii="Wingdings" w:hAnsi="Wingdings"/>
          <w:color w:val="FF0000"/>
          <w:sz w:val="20"/>
          <w:szCs w:val="20"/>
          <w:lang w:eastAsia="pl-PL"/>
        </w:rPr>
        <w:t></w:t>
      </w:r>
      <w:r>
        <w:rPr>
          <w:rFonts w:eastAsia="Times New Roman" w:cs="Calibri" w:cstheme="minorHAnsi"/>
          <w:sz w:val="20"/>
          <w:szCs w:val="20"/>
          <w:lang w:eastAsia="pl-PL"/>
        </w:rPr>
        <w:t xml:space="preserve"> Natura 200 Obszary siedliskowe,</w:t>
      </w:r>
      <w:r>
        <w:rPr>
          <w:rFonts w:eastAsia="Times New Roman" w:cs="Calibri" w:cstheme="minorHAnsi"/>
          <w:color w:val="FFFF00"/>
          <w:sz w:val="20"/>
          <w:szCs w:val="20"/>
          <w:lang w:eastAsia="pl-PL"/>
        </w:rPr>
        <w:t xml:space="preserve"> </w:t>
      </w:r>
      <w:r>
        <w:rPr>
          <w:rFonts w:eastAsia="Wingdings" w:cs="Wingdings" w:ascii="Wingdings" w:hAnsi="Wingdings"/>
          <w:color w:val="66FF33"/>
          <w:sz w:val="20"/>
          <w:szCs w:val="20"/>
          <w:lang w:eastAsia="pl-PL"/>
        </w:rPr>
        <w:t></w:t>
      </w:r>
      <w:r>
        <w:rPr>
          <w:rFonts w:eastAsia="Times New Roman" w:cs="Calibri" w:cstheme="minorHAnsi"/>
          <w:sz w:val="20"/>
          <w:szCs w:val="20"/>
          <w:lang w:eastAsia="pl-PL"/>
        </w:rPr>
        <w:t xml:space="preserve"> użytki ekologiczne,  </w:t>
      </w:r>
      <w:r>
        <w:rPr/>
        <w:drawing>
          <wp:inline distT="0" distB="0" distL="0" distR="0">
            <wp:extent cx="111125" cy="133350"/>
            <wp:effectExtent l="0" t="0" r="0" b="0"/>
            <wp:docPr id="7" name="Obraz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6" descr=""/>
                    <pic:cNvPicPr>
                      <a:picLocks noChangeAspect="1" noChangeArrowheads="1"/>
                    </pic:cNvPicPr>
                  </pic:nvPicPr>
                  <pic:blipFill>
                    <a:blip r:embed="rId9"/>
                    <a:stretch>
                      <a:fillRect/>
                    </a:stretch>
                  </pic:blipFill>
                  <pic:spPr bwMode="auto">
                    <a:xfrm>
                      <a:off x="0" y="0"/>
                      <a:ext cx="111125" cy="133350"/>
                    </a:xfrm>
                    <a:prstGeom prst="rect">
                      <a:avLst/>
                    </a:prstGeom>
                  </pic:spPr>
                </pic:pic>
              </a:graphicData>
            </a:graphic>
          </wp:inline>
        </w:drawing>
      </w:r>
      <w:r>
        <w:rPr>
          <w:rFonts w:eastAsia="Times New Roman" w:cs="Calibri" w:cstheme="minorHAnsi"/>
          <w:sz w:val="20"/>
          <w:szCs w:val="20"/>
          <w:lang w:eastAsia="pl-PL"/>
        </w:rPr>
        <w:t>pomniki przyrody</w:t>
      </w:r>
    </w:p>
    <w:p>
      <w:pPr>
        <w:pStyle w:val="Normal"/>
        <w:rPr>
          <w:rFonts w:eastAsia="Times New Roman" w:cs="Calibri" w:cstheme="minorHAnsi"/>
          <w:sz w:val="20"/>
          <w:szCs w:val="20"/>
          <w:lang w:eastAsia="pl-PL"/>
        </w:rPr>
      </w:pPr>
      <w:r>
        <w:rPr>
          <w:rFonts w:eastAsia="Times New Roman" w:cs="Calibri" w:cstheme="minorHAnsi"/>
          <w:sz w:val="20"/>
          <w:szCs w:val="20"/>
          <w:lang w:eastAsia="pl-PL"/>
        </w:rPr>
      </w:r>
    </w:p>
    <w:p>
      <w:pPr>
        <w:pStyle w:val="Nagwek2"/>
        <w:numPr>
          <w:ilvl w:val="1"/>
          <w:numId w:val="1"/>
        </w:numPr>
        <w:spacing w:lineRule="auto" w:line="240" w:before="0" w:after="0"/>
        <w:ind w:left="426" w:hanging="432"/>
        <w:rPr>
          <w:rFonts w:ascii="Calibri" w:hAnsi="Calibri" w:cs="Calibri" w:asciiTheme="minorHAnsi" w:cstheme="minorHAnsi" w:hAnsiTheme="minorHAnsi"/>
          <w:i w:val="false"/>
          <w:i w:val="false"/>
          <w:iCs w:val="false"/>
        </w:rPr>
      </w:pPr>
      <w:bookmarkStart w:id="31" w:name="_Hlk66172449"/>
      <w:bookmarkStart w:id="32" w:name="_Toc118887452"/>
      <w:bookmarkEnd w:id="31"/>
      <w:r>
        <w:rPr>
          <w:rFonts w:cs="Calibri" w:ascii="Calibri" w:hAnsi="Calibri" w:asciiTheme="minorHAnsi" w:cstheme="minorHAnsi" w:hAnsiTheme="minorHAnsi"/>
          <w:i w:val="false"/>
          <w:iCs w:val="false"/>
        </w:rPr>
        <w:t>Ochrona powietrza</w:t>
      </w:r>
      <w:bookmarkEnd w:id="32"/>
      <w:r>
        <w:rPr>
          <w:rFonts w:cs="Calibri" w:ascii="Calibri" w:hAnsi="Calibri" w:asciiTheme="minorHAnsi" w:cstheme="minorHAnsi" w:hAnsiTheme="minorHAnsi"/>
          <w:i w:val="false"/>
          <w:iCs w:val="false"/>
        </w:rPr>
        <w:t xml:space="preserve"> </w:t>
      </w:r>
    </w:p>
    <w:p>
      <w:pPr>
        <w:pStyle w:val="NoSpacing"/>
        <w:jc w:val="both"/>
        <w:rPr>
          <w:rFonts w:ascii="Calibri" w:hAnsi="Calibri" w:cs="Calibri" w:asciiTheme="minorHAnsi" w:cstheme="minorHAnsi" w:hAnsiTheme="minorHAnsi"/>
          <w:sz w:val="10"/>
          <w:szCs w:val="10"/>
          <w:highlight w:val="yellow"/>
        </w:rPr>
      </w:pPr>
      <w:r>
        <w:rPr>
          <w:rFonts w:cs="Calibri" w:cstheme="minorHAnsi"/>
          <w:sz w:val="10"/>
          <w:szCs w:val="10"/>
          <w:highlight w:val="yellow"/>
        </w:rPr>
      </w:r>
    </w:p>
    <w:p>
      <w:pPr>
        <w:pStyle w:val="NoSpacing"/>
        <w:jc w:val="both"/>
        <w:rPr>
          <w:rFonts w:ascii="Calibri" w:hAnsi="Calibri" w:cs="Calibri" w:asciiTheme="minorHAnsi" w:cstheme="minorHAnsi" w:hAnsiTheme="minorHAnsi"/>
        </w:rPr>
      </w:pPr>
      <w:r>
        <w:rPr>
          <w:rFonts w:cs="Calibri" w:cstheme="minorHAnsi"/>
        </w:rPr>
        <w:t xml:space="preserve">Ochrona powietrza to jedno z bardziej istotnych zagadnień ochrony środowiska przez człowieka </w:t>
        <w:br/>
        <w:t xml:space="preserve">w szczególności przed zanieczyszczeniem z uwagi na to, że proces odnowy atmosfery jest długotrwały. Zagrożenia wynikające z zanieczyszczeń atmosfery stanowią duże niebezpieczeństwo, ponieważ </w:t>
        <w:br/>
        <w:t>z powodu ruchów mas powietrznych mogą być przenoszone na znaczne odległości. Substancje te mogą występować w postaci stałej, ciekłej lub gazowej i mogą wpływać na zdrowie ludzi, klimat, przyrodę ożywioną, glebę, wodę lub powodować inne szkody w środowisku. Ochrona powietrza polega na zapewnieniu jak najlepszej jego jakości, w szczególności poprzez:</w:t>
      </w:r>
    </w:p>
    <w:p>
      <w:pPr>
        <w:pStyle w:val="NoSpacing"/>
        <w:numPr>
          <w:ilvl w:val="0"/>
          <w:numId w:val="54"/>
        </w:numPr>
        <w:jc w:val="both"/>
        <w:rPr>
          <w:rFonts w:ascii="Calibri" w:hAnsi="Calibri" w:cs="Calibri" w:asciiTheme="minorHAnsi" w:cstheme="minorHAnsi" w:hAnsiTheme="minorHAnsi"/>
        </w:rPr>
      </w:pPr>
      <w:r>
        <w:rPr>
          <w:rFonts w:cs="Calibri" w:cstheme="minorHAnsi"/>
        </w:rPr>
        <w:t xml:space="preserve">utrzymanie poziomów substancji w powietrzu poniżej dopuszczalnych, lub co najmniej na tych samych poziomach oraz </w:t>
      </w:r>
    </w:p>
    <w:p>
      <w:pPr>
        <w:pStyle w:val="NoSpacing"/>
        <w:numPr>
          <w:ilvl w:val="0"/>
          <w:numId w:val="54"/>
        </w:numPr>
        <w:jc w:val="both"/>
        <w:rPr>
          <w:rFonts w:ascii="Calibri" w:hAnsi="Calibri" w:cs="Calibri" w:asciiTheme="minorHAnsi" w:cstheme="minorHAnsi" w:hAnsiTheme="minorHAnsi"/>
        </w:rPr>
      </w:pPr>
      <w:r>
        <w:rPr>
          <w:rFonts w:cs="Calibri" w:cstheme="minorHAnsi"/>
        </w:rPr>
        <w:t>zmniejszanie poziomów substancji szkodliwych w powietrzu do norm co najmniej dopuszczalnych.</w:t>
      </w:r>
    </w:p>
    <w:p>
      <w:pPr>
        <w:pStyle w:val="Normal"/>
        <w:spacing w:lineRule="auto" w:line="240" w:before="0" w:after="0"/>
        <w:jc w:val="both"/>
        <w:rPr>
          <w:rFonts w:eastAsia="" w:cs="Calibri" w:cstheme="minorHAnsi" w:eastAsiaTheme="minorEastAsia"/>
          <w:b/>
          <w:b/>
          <w:bCs/>
        </w:rPr>
      </w:pPr>
      <w:r>
        <w:rPr>
          <w:rFonts w:eastAsia="" w:cs="Calibri" w:cstheme="minorHAnsi" w:eastAsiaTheme="minorEastAsia"/>
          <w:b/>
          <w:bCs/>
        </w:rPr>
      </w:r>
      <w:bookmarkStart w:id="33" w:name="_Toc65063825"/>
      <w:bookmarkStart w:id="34" w:name="_Toc480287624"/>
      <w:bookmarkStart w:id="35" w:name="_Toc453757734"/>
      <w:bookmarkStart w:id="36" w:name="_Toc65063825"/>
      <w:bookmarkStart w:id="37" w:name="_Toc480287624"/>
      <w:bookmarkStart w:id="38" w:name="_Toc453757734"/>
      <w:bookmarkEnd w:id="36"/>
      <w:bookmarkEnd w:id="37"/>
      <w:bookmarkEnd w:id="38"/>
    </w:p>
    <w:p>
      <w:pPr>
        <w:pStyle w:val="Normal"/>
        <w:spacing w:lineRule="auto" w:line="240" w:before="0" w:after="0"/>
        <w:jc w:val="both"/>
        <w:rPr>
          <w:rFonts w:eastAsia="" w:cs="Calibri" w:cstheme="minorHAnsi" w:eastAsiaTheme="minorEastAsia"/>
          <w:b/>
          <w:b/>
          <w:bCs/>
        </w:rPr>
      </w:pPr>
      <w:r>
        <w:rPr>
          <w:rFonts w:eastAsia="" w:cs="Calibri" w:cstheme="minorHAnsi" w:eastAsiaTheme="minorEastAsia"/>
          <w:b/>
          <w:bCs/>
        </w:rPr>
        <w:t>Stan czystości powietrza atmosferycznego na terenie gminy Dwikozy</w:t>
      </w:r>
    </w:p>
    <w:p>
      <w:pPr>
        <w:pStyle w:val="Normal"/>
        <w:spacing w:lineRule="auto" w:line="240" w:before="0" w:after="0"/>
        <w:jc w:val="both"/>
        <w:rPr>
          <w:rFonts w:eastAsia="Arimo" w:cs="Calibri" w:cstheme="minorHAnsi"/>
        </w:rPr>
      </w:pPr>
      <w:r>
        <w:rPr>
          <w:rFonts w:eastAsia="Arimo" w:cs="Calibri" w:cstheme="minorHAnsi"/>
        </w:rPr>
        <w:t xml:space="preserve">Zgodnie z art. 89 ustawy z dnia 27 kwietnia 2001 r. </w:t>
      </w:r>
      <w:r>
        <w:rPr>
          <w:rFonts w:eastAsia="Arimo" w:cs="Calibri" w:cstheme="minorHAnsi"/>
          <w:i/>
          <w:iCs/>
        </w:rPr>
        <w:t>Prawo ochrony środowiska</w:t>
      </w:r>
      <w:r>
        <w:rPr>
          <w:rFonts w:eastAsia="Arimo" w:cs="Calibri" w:cstheme="minorHAnsi"/>
        </w:rPr>
        <w:t xml:space="preserve"> (tekst jednolity: Dz. U. 2021 poz. 1973) Główny Inspektor Ochrony Środowiska</w:t>
      </w:r>
      <w:r>
        <w:rPr>
          <w:rStyle w:val="Zakotwiczenieprzypisudolnego"/>
          <w:rFonts w:eastAsia="Arimo" w:cs="Calibri" w:cstheme="minorHAnsi"/>
          <w:vertAlign w:val="superscript"/>
        </w:rPr>
        <w:footnoteReference w:id="3"/>
      </w:r>
      <w:r>
        <w:rPr>
          <w:rFonts w:eastAsia="Arimo" w:cs="Calibri" w:cstheme="minorHAnsi"/>
        </w:rPr>
        <w:t xml:space="preserve"> (w tym Regionalne Wydziały Monitoringu Środowiska GIOŚ na poziomie województw) dokonuje oceny poziomów substancji </w:t>
        <w:br/>
        <w:t>w powietrzu w danej strefie za rok poprzedni, a następnie dokonuje klasyfikacji stref, dla każdej substancji odrębnie, według określonych kryteriów. Podstawowymi krajowymi aktami prawnymi, określającymi obowiązki, zasady i kryteria w zakresie prowadzenia oceny jakości powietrza w Polsce są:</w:t>
      </w:r>
    </w:p>
    <w:p>
      <w:pPr>
        <w:pStyle w:val="Normal"/>
        <w:widowControl w:val="false"/>
        <w:numPr>
          <w:ilvl w:val="0"/>
          <w:numId w:val="2"/>
        </w:numPr>
        <w:spacing w:lineRule="auto" w:line="240" w:before="0" w:after="0"/>
        <w:ind w:left="426" w:hanging="360"/>
        <w:contextualSpacing/>
        <w:jc w:val="both"/>
        <w:rPr>
          <w:rFonts w:eastAsia="Arimo" w:cs="Calibri" w:cstheme="minorHAnsi"/>
        </w:rPr>
      </w:pPr>
      <w:r>
        <w:rPr>
          <w:rFonts w:eastAsia="Arimo" w:cs="Calibri" w:cstheme="minorHAnsi"/>
        </w:rPr>
        <w:t xml:space="preserve">ustawa z dnia 27 kwietnia 2001 r. </w:t>
      </w:r>
      <w:r>
        <w:rPr>
          <w:rFonts w:eastAsia="Arimo" w:cs="Calibri" w:cstheme="minorHAnsi"/>
          <w:i/>
          <w:iCs/>
        </w:rPr>
        <w:t>Prawo ochrony środowiska</w:t>
      </w:r>
      <w:r>
        <w:rPr>
          <w:rFonts w:eastAsia="Arimo" w:cs="Calibri" w:cstheme="minorHAnsi"/>
        </w:rPr>
        <w:t>,</w:t>
      </w:r>
    </w:p>
    <w:p>
      <w:pPr>
        <w:pStyle w:val="Normal"/>
        <w:widowControl w:val="false"/>
        <w:numPr>
          <w:ilvl w:val="0"/>
          <w:numId w:val="2"/>
        </w:numPr>
        <w:spacing w:lineRule="auto" w:line="240" w:before="0" w:after="0"/>
        <w:ind w:left="426" w:hanging="360"/>
        <w:contextualSpacing/>
        <w:jc w:val="both"/>
        <w:rPr>
          <w:rFonts w:eastAsia="Arimo" w:cs="Calibri" w:cstheme="minorHAnsi"/>
        </w:rPr>
      </w:pPr>
      <w:r>
        <w:rPr>
          <w:rFonts w:eastAsia="Arimo" w:cs="Calibri" w:cstheme="minorHAnsi"/>
        </w:rPr>
        <w:t xml:space="preserve">rozporządzenie Ministra Środowiska z dnia 24 sierpnia 2012 r. </w:t>
      </w:r>
      <w:r>
        <w:rPr>
          <w:rFonts w:eastAsia="Arimo" w:cs="Calibri" w:cstheme="minorHAnsi"/>
          <w:i/>
          <w:iCs/>
        </w:rPr>
        <w:t>w sprawie poziomów niektórych substancji w powietrzu</w:t>
      </w:r>
      <w:r>
        <w:rPr>
          <w:rFonts w:eastAsia="Arimo" w:cs="Calibri" w:cstheme="minorHAnsi"/>
        </w:rPr>
        <w:t xml:space="preserve"> (Dz. U. 2021 r., poz. 845) zmienione przez rozporządzenie Ministra Środowiska z dnia 9 października 2019 r. </w:t>
      </w:r>
      <w:r>
        <w:rPr>
          <w:rFonts w:eastAsia="Arimo" w:cs="Calibri" w:cstheme="minorHAnsi"/>
          <w:i/>
          <w:iCs/>
        </w:rPr>
        <w:t>zmieniające rozporządzenie w sprawie poziomów niektórych substancji w powietrzu</w:t>
      </w:r>
      <w:r>
        <w:rPr>
          <w:rFonts w:eastAsia="Arimo" w:cs="Calibri" w:cstheme="minorHAnsi"/>
        </w:rPr>
        <w:t>,</w:t>
      </w:r>
    </w:p>
    <w:p>
      <w:pPr>
        <w:pStyle w:val="Normal"/>
        <w:widowControl w:val="false"/>
        <w:numPr>
          <w:ilvl w:val="0"/>
          <w:numId w:val="2"/>
        </w:numPr>
        <w:spacing w:lineRule="auto" w:line="240" w:before="0" w:after="0"/>
        <w:ind w:left="426" w:hanging="360"/>
        <w:contextualSpacing/>
        <w:jc w:val="both"/>
        <w:rPr>
          <w:rFonts w:eastAsia="Arimo" w:cs="Calibri" w:cstheme="minorHAnsi"/>
        </w:rPr>
      </w:pPr>
      <w:r>
        <w:rPr>
          <w:rFonts w:eastAsia="Arimo" w:cs="Calibri" w:cstheme="minorHAnsi"/>
        </w:rPr>
        <w:t xml:space="preserve">rozporządzenie Ministra Środowiska z dnia 8 czerwca 2018 r. </w:t>
      </w:r>
      <w:r>
        <w:rPr>
          <w:rFonts w:eastAsia="Arimo" w:cs="Calibri" w:cstheme="minorHAnsi"/>
          <w:i/>
          <w:iCs/>
        </w:rPr>
        <w:t>w sprawie dokonywania oceny poziomów substancji w powietrzu</w:t>
      </w:r>
      <w:r>
        <w:rPr>
          <w:rFonts w:eastAsia="Arimo" w:cs="Calibri" w:cstheme="minorHAnsi"/>
        </w:rPr>
        <w:t xml:space="preserve"> (Dz. U. 2018 r., poz. 1119),</w:t>
      </w:r>
    </w:p>
    <w:p>
      <w:pPr>
        <w:pStyle w:val="Normal"/>
        <w:widowControl w:val="false"/>
        <w:numPr>
          <w:ilvl w:val="0"/>
          <w:numId w:val="2"/>
        </w:numPr>
        <w:spacing w:lineRule="auto" w:line="240" w:before="0" w:after="0"/>
        <w:ind w:left="426" w:hanging="360"/>
        <w:contextualSpacing/>
        <w:jc w:val="both"/>
        <w:rPr>
          <w:rFonts w:eastAsia="Arimo" w:cs="Calibri" w:cstheme="minorHAnsi"/>
        </w:rPr>
      </w:pPr>
      <w:r>
        <w:rPr>
          <w:rFonts w:eastAsia="Arimo" w:cs="Calibri" w:cstheme="minorHAnsi"/>
        </w:rPr>
        <w:t xml:space="preserve">rozporządzenie Ministra Środowiska z dnia 2 sierpnia 2012 r. </w:t>
      </w:r>
      <w:r>
        <w:rPr>
          <w:rFonts w:eastAsia="Arimo" w:cs="Calibri" w:cstheme="minorHAnsi"/>
          <w:i/>
          <w:iCs/>
        </w:rPr>
        <w:t>w sprawie stref, w których dokonuje się oceny jakości powietrza</w:t>
      </w:r>
      <w:r>
        <w:rPr>
          <w:rFonts w:eastAsia="Arimo" w:cs="Calibri" w:cstheme="minorHAnsi"/>
        </w:rPr>
        <w:t xml:space="preserve"> (Dz. U. 2012 r.).</w:t>
      </w:r>
    </w:p>
    <w:p>
      <w:pPr>
        <w:pStyle w:val="Normal"/>
        <w:widowControl w:val="false"/>
        <w:spacing w:lineRule="auto" w:line="240" w:before="0" w:after="0"/>
        <w:jc w:val="both"/>
        <w:rPr>
          <w:rFonts w:eastAsia="Arimo" w:cs="Calibri" w:cstheme="minorHAnsi"/>
        </w:rPr>
      </w:pPr>
      <w:r>
        <w:rPr>
          <w:rFonts w:eastAsia="Arimo" w:cs="Calibri" w:cstheme="minorHAnsi"/>
        </w:rPr>
      </w:r>
    </w:p>
    <w:p>
      <w:pPr>
        <w:pStyle w:val="Normal"/>
        <w:widowControl w:val="false"/>
        <w:spacing w:lineRule="auto" w:line="240" w:before="0" w:after="0"/>
        <w:jc w:val="both"/>
        <w:rPr>
          <w:rFonts w:eastAsia="Arimo" w:cs="Calibri" w:cstheme="minorHAnsi"/>
        </w:rPr>
      </w:pPr>
      <w:r>
        <w:rPr>
          <w:rFonts w:eastAsia="Arimo" w:cs="Calibri" w:cstheme="minorHAnsi"/>
        </w:rPr>
        <w:t xml:space="preserve">Na terenie województwa świętokrzyskiego dodatkowo obowiązuje uchwała nr XXII/292/20 Sejmiku Województwa Świętokrzyskiego z dnia 29 czerwca 2020r. </w:t>
      </w:r>
      <w:r>
        <w:rPr>
          <w:rFonts w:eastAsia="Arimo" w:cs="Calibri" w:cstheme="minorHAnsi"/>
          <w:i/>
          <w:iCs/>
        </w:rPr>
        <w:t>w sprawie wprowadzenia na obszarze województwa świętokrzyskiego ograniczeń i zakazów w zakresie eksploatacji instalacji, w których następuje spalanie paliwa</w:t>
      </w:r>
      <w:r>
        <w:rPr>
          <w:rFonts w:eastAsia="Arimo" w:cs="Calibri" w:cstheme="minorHAnsi"/>
        </w:rPr>
        <w:t>. Przedmiotowa uchwała wprowadza następujący harmonogram eliminacji nie ekologicznych źródeł ciepła:</w:t>
      </w:r>
    </w:p>
    <w:p>
      <w:pPr>
        <w:pStyle w:val="Normal"/>
        <w:widowControl w:val="false"/>
        <w:numPr>
          <w:ilvl w:val="0"/>
          <w:numId w:val="5"/>
        </w:numPr>
        <w:spacing w:lineRule="auto" w:line="240" w:before="0" w:after="0"/>
        <w:ind w:left="426" w:hanging="360"/>
        <w:contextualSpacing/>
        <w:jc w:val="both"/>
        <w:rPr>
          <w:rFonts w:eastAsia="Arimo" w:cs="Calibri" w:cstheme="minorHAnsi"/>
        </w:rPr>
      </w:pPr>
      <w:r>
        <w:rPr>
          <w:rFonts w:eastAsia="Arimo" w:cs="Calibri" w:cstheme="minorHAnsi"/>
        </w:rPr>
        <w:t>od dnia 1 lipca 2021 r. nie wolno spalać najbardziej zanieczyszczających powietrze paliw stałych, tj.: mułów i flotokoncentratów węglowych, węgla brunatnego, węgla kamiennego o uziarnieniu poniżej 3 mm oraz paliw zawierających biomasę o wilgotności w stanie roboczym powyżej 20%,</w:t>
      </w:r>
    </w:p>
    <w:p>
      <w:pPr>
        <w:pStyle w:val="Normal"/>
        <w:widowControl w:val="false"/>
        <w:numPr>
          <w:ilvl w:val="0"/>
          <w:numId w:val="5"/>
        </w:numPr>
        <w:spacing w:lineRule="auto" w:line="240" w:before="0" w:after="0"/>
        <w:ind w:left="426" w:hanging="360"/>
        <w:contextualSpacing/>
        <w:jc w:val="both"/>
        <w:rPr>
          <w:rFonts w:eastAsia="Arimo" w:cs="Calibri" w:cstheme="minorHAnsi"/>
        </w:rPr>
      </w:pPr>
      <w:r>
        <w:rPr>
          <w:rFonts w:eastAsia="Arimo" w:cs="Calibri" w:cstheme="minorHAnsi"/>
        </w:rPr>
        <w:t xml:space="preserve"> </w:t>
      </w:r>
      <w:r>
        <w:rPr>
          <w:rFonts w:eastAsia="Arimo" w:cs="Calibri" w:cstheme="minorHAnsi"/>
        </w:rPr>
        <w:t>od dnia 1 lipca 2023 r. nie wolo użytkować kotłów pozaklasowych tzw. kopciuchów (według normy PN-EN 303-5:2012),</w:t>
      </w:r>
    </w:p>
    <w:p>
      <w:pPr>
        <w:pStyle w:val="Normal"/>
        <w:widowControl w:val="false"/>
        <w:numPr>
          <w:ilvl w:val="0"/>
          <w:numId w:val="5"/>
        </w:numPr>
        <w:spacing w:lineRule="auto" w:line="240" w:before="0" w:after="0"/>
        <w:ind w:left="426" w:hanging="360"/>
        <w:contextualSpacing/>
        <w:jc w:val="both"/>
        <w:rPr>
          <w:rFonts w:eastAsia="Arimo" w:cs="Calibri" w:cstheme="minorHAnsi"/>
        </w:rPr>
      </w:pPr>
      <w:r>
        <w:rPr>
          <w:rFonts w:eastAsia="Arimo" w:cs="Calibri" w:cstheme="minorHAnsi"/>
        </w:rPr>
        <w:t>od 1 lipca 2024 r. nie wolno użytkować kotłów posiadających 3 i 4 klasę,</w:t>
      </w:r>
    </w:p>
    <w:p>
      <w:pPr>
        <w:pStyle w:val="Normal"/>
        <w:widowControl w:val="false"/>
        <w:numPr>
          <w:ilvl w:val="0"/>
          <w:numId w:val="5"/>
        </w:numPr>
        <w:spacing w:lineRule="auto" w:line="240" w:before="0" w:after="0"/>
        <w:ind w:left="426" w:hanging="360"/>
        <w:contextualSpacing/>
        <w:jc w:val="both"/>
        <w:rPr>
          <w:rFonts w:eastAsia="Arimo" w:cs="Calibri" w:cstheme="minorHAnsi"/>
        </w:rPr>
      </w:pPr>
      <w:r>
        <w:rPr>
          <w:rFonts w:eastAsia="Arimo" w:cs="Calibri" w:cstheme="minorHAnsi"/>
        </w:rPr>
        <w:t xml:space="preserve">od 1 lipca 2026 r. wolno użytkować kotły spełniające wymagania ekoprojektu zgodnie </w:t>
        <w:br/>
        <w:t xml:space="preserve">z załącznikiem do rozporządzenia Komisji (UE) 2015/1189 z dnia 28 kwietnia 2015 r. </w:t>
      </w:r>
      <w:r>
        <w:rPr>
          <w:rFonts w:eastAsia="Arimo" w:cs="Calibri" w:cstheme="minorHAnsi"/>
          <w:i/>
          <w:iCs/>
        </w:rPr>
        <w:t>w sprawie wykonania dyrektywy Parlamentu Europejskiego i Rady 2009/125/WE w odniesieniu do wymogów dotyczących ekoprojektu dla kotłów na paliwo stałe,</w:t>
      </w:r>
    </w:p>
    <w:p>
      <w:pPr>
        <w:pStyle w:val="Normal"/>
        <w:widowControl w:val="false"/>
        <w:numPr>
          <w:ilvl w:val="0"/>
          <w:numId w:val="5"/>
        </w:numPr>
        <w:spacing w:lineRule="auto" w:line="240" w:before="0" w:after="0"/>
        <w:ind w:left="426" w:hanging="360"/>
        <w:contextualSpacing/>
        <w:jc w:val="both"/>
        <w:rPr>
          <w:rFonts w:eastAsia="Arimo" w:cs="Calibri" w:cstheme="minorHAnsi"/>
        </w:rPr>
      </w:pPr>
      <w:r>
        <w:rPr>
          <w:rFonts w:eastAsia="Arimo" w:cs="Calibri" w:cstheme="minorHAnsi"/>
        </w:rPr>
        <w:t>od 1 lipca 2026 r. nie wolno użytkować kotłów na paliwo stałe w budynkach, jeśli istnieje możliwość przyłączenia budynku do sieci gazowej lub ciepłowniczej.</w:t>
      </w:r>
    </w:p>
    <w:p>
      <w:pPr>
        <w:pStyle w:val="Normal"/>
        <w:widowControl w:val="false"/>
        <w:spacing w:lineRule="auto" w:line="240" w:before="0" w:after="0"/>
        <w:jc w:val="both"/>
        <w:rPr>
          <w:rFonts w:cs="Calibri" w:cstheme="minorHAnsi"/>
          <w:b/>
          <w:b/>
          <w:bCs/>
        </w:rPr>
      </w:pPr>
      <w:r>
        <w:rPr>
          <w:rFonts w:cs="Calibri" w:cstheme="minorHAnsi"/>
          <w:b/>
          <w:bCs/>
        </w:rPr>
      </w:r>
    </w:p>
    <w:p>
      <w:pPr>
        <w:pStyle w:val="Normal"/>
        <w:widowControl w:val="false"/>
        <w:spacing w:lineRule="auto" w:line="240" w:before="0" w:after="0"/>
        <w:jc w:val="both"/>
        <w:rPr>
          <w:rFonts w:cs="Calibri" w:cstheme="minorHAnsi"/>
          <w:b/>
          <w:b/>
          <w:bCs/>
          <w:highlight w:val="yellow"/>
        </w:rPr>
      </w:pPr>
      <w:r>
        <w:rPr>
          <w:rFonts w:cs="Calibri" w:cstheme="minorHAnsi"/>
          <w:b/>
          <w:bCs/>
        </w:rPr>
        <w:t>Zatem od 1 lipca 2026r. na terenie województwa świętokrzyskiego będzie można użytkować tylko odnawialne, bądź niskoemisyjne źródła ciepła takie jak: ciepło z sieci miejskiej, kotły na gaz lub olej opalowy, pompy ciepła, ogrzewanie elektryczne</w:t>
      </w:r>
      <w:r>
        <w:rPr>
          <w:rFonts w:cs="Calibri" w:cstheme="minorHAnsi"/>
        </w:rPr>
        <w:t>. Jedynie w sytuacji braku możliwości podłączenia budynku do sieci miejskiej bądź sieci gazowej, dopuszczalne będzie spalanie paliw stałych w kotłach spełniających wymagania ekoprojektu</w:t>
      </w:r>
      <w:r>
        <w:rPr>
          <w:rStyle w:val="Zakotwiczenieprzypisudolnego"/>
          <w:rFonts w:cs="Calibri" w:cstheme="minorHAnsi"/>
          <w:vertAlign w:val="superscript"/>
        </w:rPr>
        <w:footnoteReference w:id="4"/>
      </w:r>
      <w:r>
        <w:rPr>
          <w:rFonts w:cs="Calibri" w:cstheme="minorHAnsi"/>
        </w:rPr>
        <w:t>.</w:t>
      </w:r>
    </w:p>
    <w:p>
      <w:pPr>
        <w:pStyle w:val="Normal"/>
        <w:widowControl w:val="false"/>
        <w:spacing w:lineRule="auto" w:line="240" w:before="0" w:after="0"/>
        <w:jc w:val="both"/>
        <w:rPr>
          <w:rFonts w:cs="Calibri" w:cstheme="minorHAnsi"/>
          <w:color w:val="FF0000"/>
          <w:highlight w:val="yellow"/>
        </w:rPr>
      </w:pPr>
      <w:r>
        <w:rPr>
          <w:rFonts w:cs="Calibri" w:cstheme="minorHAnsi"/>
          <w:color w:val="FF0000"/>
          <w:highlight w:val="yellow"/>
        </w:rPr>
      </w:r>
    </w:p>
    <w:p>
      <w:pPr>
        <w:pStyle w:val="Normal"/>
        <w:spacing w:lineRule="auto" w:line="240" w:before="0" w:after="0"/>
        <w:jc w:val="both"/>
        <w:rPr>
          <w:rFonts w:cs="Calibri" w:cstheme="minorHAnsi"/>
        </w:rPr>
      </w:pPr>
      <w:r>
        <w:rPr>
          <w:rFonts w:cs="Calibri" w:cstheme="minorHAnsi"/>
          <w:b/>
          <w:bCs/>
        </w:rPr>
        <w:t>Roczna ocena jakości powietrza dokonywana przez GIOŚ</w:t>
      </w:r>
      <w:r>
        <w:rPr>
          <w:rFonts w:cs="Calibri" w:cstheme="minorHAnsi"/>
        </w:rPr>
        <w:t xml:space="preserve"> i jest prowadzona w odniesieniu do wszystkich substancji, dla których obowiązek taki wynika z przepisów prawa</w:t>
      </w:r>
      <w:r>
        <w:rPr>
          <w:rStyle w:val="Zakotwiczenieprzypisudolnego"/>
          <w:rFonts w:cs="Calibri" w:cstheme="minorHAnsi"/>
          <w:vertAlign w:val="superscript"/>
        </w:rPr>
        <w:footnoteReference w:id="5"/>
      </w:r>
      <w:r>
        <w:rPr>
          <w:rFonts w:cs="Calibri" w:cstheme="minorHAnsi"/>
        </w:rPr>
        <w:t>. Są to równocześnie substancje, dla których w prawie krajowym</w:t>
      </w:r>
      <w:r>
        <w:rPr>
          <w:rStyle w:val="Zakotwiczenieprzypisudolnego"/>
          <w:rFonts w:cs="Calibri" w:cstheme="minorHAnsi"/>
          <w:vertAlign w:val="superscript"/>
        </w:rPr>
        <w:footnoteReference w:id="6"/>
      </w:r>
      <w:r>
        <w:rPr>
          <w:rFonts w:cs="Calibri" w:cstheme="minorHAnsi"/>
        </w:rPr>
        <w:t xml:space="preserve"> i w dyrektywach UE</w:t>
      </w:r>
      <w:r>
        <w:rPr>
          <w:rStyle w:val="Zakotwiczenieprzypisudolnego"/>
          <w:rFonts w:cs="Calibri" w:cstheme="minorHAnsi"/>
          <w:vertAlign w:val="superscript"/>
        </w:rPr>
        <w:footnoteReference w:id="7"/>
      </w:r>
      <w:r>
        <w:rPr>
          <w:rFonts w:cs="Calibri" w:cstheme="minorHAnsi"/>
        </w:rPr>
        <w:t xml:space="preserve"> określono normatywne stężenia </w:t>
        <w:br/>
        <w:t>w postaci poziomów:</w:t>
      </w:r>
    </w:p>
    <w:p>
      <w:pPr>
        <w:pStyle w:val="Normal"/>
        <w:numPr>
          <w:ilvl w:val="0"/>
          <w:numId w:val="59"/>
        </w:numPr>
        <w:spacing w:lineRule="auto" w:line="240" w:before="0" w:after="0"/>
        <w:contextualSpacing/>
        <w:jc w:val="both"/>
        <w:rPr>
          <w:rFonts w:cs="Calibri" w:cstheme="minorHAnsi"/>
        </w:rPr>
      </w:pPr>
      <w:r>
        <w:rPr>
          <w:rFonts w:cs="Calibri" w:cstheme="minorHAnsi"/>
        </w:rPr>
        <w:t>dopuszczalnych,</w:t>
      </w:r>
    </w:p>
    <w:p>
      <w:pPr>
        <w:pStyle w:val="Normal"/>
        <w:numPr>
          <w:ilvl w:val="0"/>
          <w:numId w:val="59"/>
        </w:numPr>
        <w:spacing w:lineRule="auto" w:line="240" w:before="0" w:after="0"/>
        <w:contextualSpacing/>
        <w:jc w:val="both"/>
        <w:rPr>
          <w:rFonts w:cs="Calibri" w:cstheme="minorHAnsi"/>
        </w:rPr>
      </w:pPr>
      <w:r>
        <w:rPr>
          <w:rFonts w:cs="Calibri" w:cstheme="minorHAnsi"/>
        </w:rPr>
        <w:t>docelowych,</w:t>
      </w:r>
    </w:p>
    <w:p>
      <w:pPr>
        <w:pStyle w:val="Normal"/>
        <w:numPr>
          <w:ilvl w:val="0"/>
          <w:numId w:val="59"/>
        </w:numPr>
        <w:spacing w:lineRule="auto" w:line="240" w:before="0" w:after="0"/>
        <w:contextualSpacing/>
        <w:jc w:val="both"/>
        <w:rPr>
          <w:rFonts w:cs="Calibri" w:cstheme="minorHAnsi"/>
        </w:rPr>
      </w:pPr>
      <w:r>
        <w:rPr>
          <w:rFonts w:cs="Calibri" w:cstheme="minorHAnsi"/>
        </w:rPr>
        <w:t xml:space="preserve">celu długoterminowego w powietrzu ze względu na ochronę zdrowia ludzi i ochronę roślin.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eastAsia="SymbolMT" w:cs="Calibri" w:cstheme="minorHAnsi"/>
        </w:rPr>
      </w:pPr>
      <w:r>
        <w:rPr>
          <w:rFonts w:cs="Calibri" w:cstheme="minorHAnsi"/>
          <w:b/>
          <w:bCs/>
        </w:rPr>
        <w:t>Lista zanieczyszczeń</w:t>
      </w:r>
      <w:r>
        <w:rPr>
          <w:rFonts w:cs="Calibri" w:cstheme="minorHAnsi"/>
        </w:rPr>
        <w:t xml:space="preserve">, jakie należy uwzględnić </w:t>
      </w:r>
      <w:r>
        <w:rPr>
          <w:rFonts w:cs="Calibri" w:cstheme="minorHAnsi"/>
          <w:b/>
          <w:bCs/>
        </w:rPr>
        <w:t>w ocenie dokonywanej</w:t>
      </w:r>
      <w:r>
        <w:rPr>
          <w:rFonts w:cs="Calibri" w:cstheme="minorHAnsi"/>
        </w:rPr>
        <w:t xml:space="preserve"> pod kątem spełnienia kryteriów określonych w celu </w:t>
      </w:r>
      <w:r>
        <w:rPr>
          <w:rFonts w:cs="Calibri" w:cstheme="minorHAnsi"/>
          <w:b/>
          <w:bCs/>
          <w:u w:val="single"/>
        </w:rPr>
        <w:t>ochrony zdrowia ludzi</w:t>
      </w:r>
      <w:r>
        <w:rPr>
          <w:rFonts w:cs="Calibri" w:cstheme="minorHAnsi"/>
        </w:rPr>
        <w:t xml:space="preserve">, </w:t>
      </w:r>
      <w:r>
        <w:rPr>
          <w:rFonts w:cs="Calibri" w:cstheme="minorHAnsi"/>
          <w:b/>
          <w:bCs/>
        </w:rPr>
        <w:t>obejmuje 12 substancji</w:t>
      </w:r>
      <w:r>
        <w:rPr>
          <w:rFonts w:cs="Calibri" w:cstheme="minorHAnsi"/>
        </w:rPr>
        <w:t>:</w:t>
      </w:r>
      <w:r>
        <w:rPr>
          <w:rFonts w:eastAsia="SymbolMT" w:cs="Calibri" w:cstheme="minorHAnsi"/>
        </w:rPr>
        <w:t xml:space="preserve"> </w:t>
      </w:r>
    </w:p>
    <w:p>
      <w:pPr>
        <w:pStyle w:val="Normal"/>
        <w:numPr>
          <w:ilvl w:val="0"/>
          <w:numId w:val="60"/>
        </w:numPr>
        <w:spacing w:lineRule="auto" w:line="240" w:before="0" w:after="0"/>
        <w:contextualSpacing/>
        <w:jc w:val="both"/>
        <w:rPr>
          <w:rFonts w:cs="Calibri" w:cstheme="minorHAnsi"/>
        </w:rPr>
      </w:pPr>
      <w:r>
        <w:rPr>
          <w:rFonts w:cs="Calibri" w:cstheme="minorHAnsi"/>
        </w:rPr>
        <w:t>dwutlenek siarki SO2,</w:t>
      </w:r>
      <w:r>
        <w:rPr>
          <w:rFonts w:eastAsia="SymbolMT" w:cs="Calibri" w:cstheme="minorHAnsi"/>
        </w:rPr>
        <w:t xml:space="preserve">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dwutlenek azotu NO2, </w:t>
      </w:r>
    </w:p>
    <w:p>
      <w:pPr>
        <w:pStyle w:val="Normal"/>
        <w:numPr>
          <w:ilvl w:val="0"/>
          <w:numId w:val="60"/>
        </w:numPr>
        <w:spacing w:lineRule="auto" w:line="240" w:before="0" w:after="0"/>
        <w:contextualSpacing/>
        <w:jc w:val="both"/>
        <w:rPr>
          <w:rFonts w:cs="Calibri" w:cstheme="minorHAnsi"/>
        </w:rPr>
      </w:pPr>
      <w:r>
        <w:rPr>
          <w:rFonts w:cs="Calibri" w:cstheme="minorHAnsi"/>
        </w:rPr>
        <w:t>tlenek węgla CO,</w:t>
      </w:r>
      <w:r>
        <w:rPr>
          <w:rFonts w:eastAsia="SymbolMT" w:cs="Calibri" w:cstheme="minorHAnsi"/>
        </w:rPr>
        <w:t xml:space="preserve">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benzen C6H6,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ozon O3,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pył PM10,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pył PM2,5,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ołów Pb w PM10,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arsen As w PM10,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kadm Cd w PM10, </w:t>
      </w:r>
    </w:p>
    <w:p>
      <w:pPr>
        <w:pStyle w:val="Normal"/>
        <w:numPr>
          <w:ilvl w:val="0"/>
          <w:numId w:val="60"/>
        </w:numPr>
        <w:spacing w:lineRule="auto" w:line="240" w:before="0" w:after="0"/>
        <w:contextualSpacing/>
        <w:jc w:val="both"/>
        <w:rPr>
          <w:rFonts w:cs="Calibri" w:cstheme="minorHAnsi"/>
        </w:rPr>
      </w:pPr>
      <w:r>
        <w:rPr>
          <w:rFonts w:cs="Calibri" w:cstheme="minorHAnsi"/>
        </w:rPr>
        <w:t xml:space="preserve">nikiel Ni w PM10, </w:t>
      </w:r>
    </w:p>
    <w:p>
      <w:pPr>
        <w:pStyle w:val="Normal"/>
        <w:numPr>
          <w:ilvl w:val="0"/>
          <w:numId w:val="60"/>
        </w:numPr>
        <w:spacing w:lineRule="auto" w:line="240" w:before="0" w:after="0"/>
        <w:contextualSpacing/>
        <w:jc w:val="both"/>
        <w:rPr>
          <w:rFonts w:cs="Calibri" w:cstheme="minorHAnsi"/>
        </w:rPr>
      </w:pPr>
      <w:r>
        <w:rPr>
          <w:rFonts w:cs="Calibri" w:cstheme="minorHAnsi"/>
        </w:rPr>
        <w:t>benzo(a)piren B(a)P w PM10.</w:t>
      </w:r>
    </w:p>
    <w:p>
      <w:pPr>
        <w:pStyle w:val="Normal"/>
        <w:spacing w:lineRule="auto" w:line="240" w:before="0" w:after="0"/>
        <w:jc w:val="both"/>
        <w:rPr>
          <w:rFonts w:cs="Calibri" w:cstheme="minorHAnsi"/>
          <w:color w:val="FF0000"/>
        </w:rPr>
      </w:pPr>
      <w:r>
        <w:rPr>
          <w:rFonts w:cs="Calibri" w:cstheme="minorHAnsi"/>
          <w:color w:val="FF0000"/>
        </w:rPr>
      </w:r>
    </w:p>
    <w:p>
      <w:pPr>
        <w:pStyle w:val="Normal"/>
        <w:spacing w:lineRule="auto" w:line="240" w:before="0" w:after="0"/>
        <w:jc w:val="both"/>
        <w:rPr>
          <w:rFonts w:cs="Calibri" w:cstheme="minorHAnsi"/>
        </w:rPr>
      </w:pPr>
      <w:r>
        <w:rPr>
          <w:rFonts w:cs="Calibri" w:cstheme="minorHAnsi"/>
        </w:rPr>
        <w:t xml:space="preserve">W ocenach dokonywanych pod kątem </w:t>
      </w:r>
      <w:r>
        <w:rPr>
          <w:rFonts w:cs="Calibri" w:cstheme="minorHAnsi"/>
          <w:b/>
          <w:bCs/>
        </w:rPr>
        <w:t xml:space="preserve">spełnienia kryteriów odniesionych do </w:t>
      </w:r>
      <w:r>
        <w:rPr>
          <w:rFonts w:cs="Calibri" w:cstheme="minorHAnsi"/>
          <w:b/>
          <w:bCs/>
          <w:u w:val="single"/>
        </w:rPr>
        <w:t>ochrony roślin</w:t>
      </w:r>
      <w:r>
        <w:rPr>
          <w:rFonts w:cs="Calibri" w:cstheme="minorHAnsi"/>
        </w:rPr>
        <w:t xml:space="preserve"> </w:t>
      </w:r>
      <w:r>
        <w:rPr>
          <w:rFonts w:cs="Calibri" w:cstheme="minorHAnsi"/>
          <w:b/>
          <w:bCs/>
        </w:rPr>
        <w:t>uwzględnia się 3 substancje</w:t>
      </w:r>
      <w:r>
        <w:rPr>
          <w:rFonts w:cs="Calibri" w:cstheme="minorHAnsi"/>
        </w:rPr>
        <w:t xml:space="preserve">: </w:t>
      </w:r>
    </w:p>
    <w:p>
      <w:pPr>
        <w:pStyle w:val="Normal"/>
        <w:numPr>
          <w:ilvl w:val="0"/>
          <w:numId w:val="61"/>
        </w:numPr>
        <w:spacing w:lineRule="auto" w:line="240" w:before="0" w:after="0"/>
        <w:contextualSpacing/>
        <w:jc w:val="both"/>
        <w:rPr>
          <w:rFonts w:cs="Calibri" w:cstheme="minorHAnsi"/>
        </w:rPr>
      </w:pPr>
      <w:r>
        <w:rPr>
          <w:rFonts w:cs="Calibri" w:cstheme="minorHAnsi"/>
        </w:rPr>
        <w:t xml:space="preserve">dwutlenek siarki SO2, </w:t>
      </w:r>
    </w:p>
    <w:p>
      <w:pPr>
        <w:pStyle w:val="Normal"/>
        <w:numPr>
          <w:ilvl w:val="0"/>
          <w:numId w:val="61"/>
        </w:numPr>
        <w:spacing w:lineRule="auto" w:line="240" w:before="0" w:after="0"/>
        <w:contextualSpacing/>
        <w:jc w:val="both"/>
        <w:rPr>
          <w:rFonts w:cs="Calibri" w:cstheme="minorHAnsi"/>
        </w:rPr>
      </w:pPr>
      <w:r>
        <w:rPr>
          <w:rFonts w:cs="Calibri" w:cstheme="minorHAnsi"/>
        </w:rPr>
        <w:t xml:space="preserve">tlenki azotu NOx, </w:t>
      </w:r>
    </w:p>
    <w:p>
      <w:pPr>
        <w:pStyle w:val="Normal"/>
        <w:numPr>
          <w:ilvl w:val="0"/>
          <w:numId w:val="61"/>
        </w:numPr>
        <w:spacing w:lineRule="auto" w:line="240" w:before="0" w:after="0"/>
        <w:contextualSpacing/>
        <w:jc w:val="both"/>
        <w:rPr>
          <w:rFonts w:cs="Calibri" w:cstheme="minorHAnsi"/>
        </w:rPr>
      </w:pPr>
      <w:r>
        <w:rPr>
          <w:rFonts w:cs="Calibri" w:cstheme="minorHAnsi"/>
        </w:rPr>
        <w:t xml:space="preserve">ozon O3.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Zgodnie z art. 89 ustawy </w:t>
      </w:r>
      <w:r>
        <w:rPr>
          <w:rFonts w:cs="Calibri" w:cstheme="minorHAnsi"/>
          <w:i/>
          <w:iCs/>
        </w:rPr>
        <w:t>Prawo ochrony środowiska</w:t>
      </w:r>
      <w:r>
        <w:rPr>
          <w:rFonts w:cs="Calibri" w:cstheme="minorHAnsi"/>
        </w:rPr>
        <w:t>, kryteriami oceny i klasyfikacji stref w rocznej ocenie jakości powietrza są:</w:t>
      </w:r>
    </w:p>
    <w:p>
      <w:pPr>
        <w:pStyle w:val="Normal"/>
        <w:numPr>
          <w:ilvl w:val="0"/>
          <w:numId w:val="3"/>
        </w:numPr>
        <w:spacing w:lineRule="auto" w:line="240" w:before="0" w:after="0"/>
        <w:ind w:left="426" w:hanging="360"/>
        <w:contextualSpacing/>
        <w:jc w:val="both"/>
        <w:rPr>
          <w:rFonts w:cs="Calibri" w:cstheme="minorHAnsi"/>
        </w:rPr>
      </w:pPr>
      <w:r>
        <w:rPr>
          <w:rFonts w:cs="Calibri" w:cstheme="minorHAnsi"/>
        </w:rPr>
        <w:t>dopuszczalny poziom substancji w powietrzu</w:t>
      </w:r>
      <w:r>
        <w:rPr>
          <w:rStyle w:val="Zakotwiczenieprzypisudolnego"/>
          <w:rFonts w:cs="Calibri" w:cstheme="minorHAnsi"/>
          <w:vertAlign w:val="superscript"/>
        </w:rPr>
        <w:footnoteReference w:id="8"/>
      </w:r>
      <w:r>
        <w:rPr>
          <w:rFonts w:cs="Calibri" w:cstheme="minorHAnsi"/>
        </w:rPr>
        <w:t>,</w:t>
      </w:r>
    </w:p>
    <w:p>
      <w:pPr>
        <w:pStyle w:val="Normal"/>
        <w:numPr>
          <w:ilvl w:val="0"/>
          <w:numId w:val="3"/>
        </w:numPr>
        <w:spacing w:lineRule="auto" w:line="240" w:before="0" w:after="0"/>
        <w:ind w:left="426" w:hanging="360"/>
        <w:contextualSpacing/>
        <w:jc w:val="both"/>
        <w:rPr>
          <w:rFonts w:cs="Calibri" w:cstheme="minorHAnsi"/>
        </w:rPr>
      </w:pPr>
      <w:r>
        <w:rPr>
          <w:rFonts w:cs="Calibri" w:cstheme="minorHAnsi"/>
        </w:rPr>
        <w:t>dopuszczalny poziom substancji w powietrzu powiększony o margines tolerancji</w:t>
      </w:r>
      <w:r>
        <w:rPr>
          <w:rStyle w:val="Zakotwiczenieprzypisudolnego"/>
          <w:rFonts w:cs="Calibri" w:cstheme="minorHAnsi"/>
          <w:vertAlign w:val="superscript"/>
        </w:rPr>
        <w:footnoteReference w:id="9"/>
      </w:r>
      <w:r>
        <w:rPr>
          <w:rFonts w:cs="Calibri" w:cstheme="minorHAnsi"/>
        </w:rPr>
        <w:t>,</w:t>
      </w:r>
    </w:p>
    <w:p>
      <w:pPr>
        <w:pStyle w:val="Normal"/>
        <w:numPr>
          <w:ilvl w:val="0"/>
          <w:numId w:val="3"/>
        </w:numPr>
        <w:spacing w:lineRule="auto" w:line="240" w:before="0" w:after="0"/>
        <w:ind w:left="426" w:hanging="360"/>
        <w:contextualSpacing/>
        <w:jc w:val="both"/>
        <w:rPr>
          <w:rFonts w:cs="Calibri" w:cstheme="minorHAnsi"/>
        </w:rPr>
      </w:pPr>
      <w:r>
        <w:rPr>
          <w:rFonts w:cs="Calibri" w:cstheme="minorHAnsi"/>
        </w:rPr>
        <w:t>poziom docelowy substancji w powietrzu</w:t>
      </w:r>
      <w:r>
        <w:rPr>
          <w:rStyle w:val="Zakotwiczenieprzypisudolnego"/>
          <w:rFonts w:cs="Calibri" w:cstheme="minorHAnsi"/>
          <w:vertAlign w:val="superscript"/>
        </w:rPr>
        <w:footnoteReference w:id="10"/>
      </w:r>
      <w:r>
        <w:rPr>
          <w:rFonts w:cs="Calibri" w:cstheme="minorHAnsi"/>
        </w:rPr>
        <w:t>,</w:t>
      </w:r>
    </w:p>
    <w:p>
      <w:pPr>
        <w:pStyle w:val="Normal"/>
        <w:numPr>
          <w:ilvl w:val="0"/>
          <w:numId w:val="3"/>
        </w:numPr>
        <w:spacing w:lineRule="auto" w:line="240" w:before="0" w:after="0"/>
        <w:ind w:left="426" w:hanging="360"/>
        <w:contextualSpacing/>
        <w:jc w:val="both"/>
        <w:rPr>
          <w:rFonts w:cs="Calibri" w:cstheme="minorHAnsi"/>
        </w:rPr>
      </w:pPr>
      <w:r>
        <w:rPr>
          <w:rFonts w:cs="Calibri" w:cstheme="minorHAnsi"/>
        </w:rPr>
        <w:t>poziom celu długoterminowego (dla ozonu).</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Zgodnie z definicjami zawartymi w dyrektywie 2008/50/WE:</w:t>
      </w:r>
    </w:p>
    <w:p>
      <w:pPr>
        <w:pStyle w:val="Normal"/>
        <w:numPr>
          <w:ilvl w:val="0"/>
          <w:numId w:val="6"/>
        </w:numPr>
        <w:spacing w:lineRule="auto" w:line="240" w:before="0" w:after="0"/>
        <w:ind w:left="426" w:hanging="360"/>
        <w:contextualSpacing/>
        <w:jc w:val="both"/>
        <w:rPr>
          <w:rFonts w:cs="Calibri" w:cstheme="minorHAnsi"/>
        </w:rPr>
      </w:pPr>
      <w:r>
        <w:rPr>
          <w:rFonts w:cs="Calibri" w:cstheme="minorHAnsi"/>
          <w:b/>
          <w:bCs/>
        </w:rPr>
        <w:t>poziom dopuszczalny</w:t>
      </w:r>
      <w:r>
        <w:rPr>
          <w:rFonts w:cs="Calibri" w:cstheme="minorHAnsi"/>
        </w:rPr>
        <w:t xml:space="preserve">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pPr>
        <w:pStyle w:val="Normal"/>
        <w:numPr>
          <w:ilvl w:val="0"/>
          <w:numId w:val="6"/>
        </w:numPr>
        <w:spacing w:lineRule="auto" w:line="240" w:before="0" w:after="0"/>
        <w:ind w:left="426" w:hanging="360"/>
        <w:contextualSpacing/>
        <w:jc w:val="both"/>
        <w:rPr>
          <w:rFonts w:cs="Calibri" w:cstheme="minorHAnsi"/>
        </w:rPr>
      </w:pPr>
      <w:r>
        <w:rPr>
          <w:rFonts w:cs="Calibri" w:cstheme="minorHAnsi"/>
          <w:b/>
          <w:bCs/>
        </w:rPr>
        <w:t>poziom docelowy</w:t>
      </w:r>
      <w:r>
        <w:rPr>
          <w:rFonts w:cs="Calibri" w:cstheme="minorHAnsi"/>
        </w:rPr>
        <w:t xml:space="preserve"> oznacza poziom substancji w powietrzu ustalony w celu unikania, zapobiegania lub ograniczania szkodliwego oddziaływania na zdrowie ludzkie lub środowisko jako całość, który ma być osiągnięty tam gdzie to możliwe w określonym czasie,</w:t>
      </w:r>
    </w:p>
    <w:p>
      <w:pPr>
        <w:pStyle w:val="Normal"/>
        <w:numPr>
          <w:ilvl w:val="0"/>
          <w:numId w:val="6"/>
        </w:numPr>
        <w:spacing w:lineRule="auto" w:line="240" w:before="0" w:after="0"/>
        <w:ind w:left="426" w:hanging="360"/>
        <w:contextualSpacing/>
        <w:jc w:val="both"/>
        <w:rPr>
          <w:rFonts w:cs="Calibri" w:cstheme="minorHAnsi"/>
        </w:rPr>
      </w:pPr>
      <w:r>
        <w:rPr>
          <w:rFonts w:cs="Calibri" w:cstheme="minorHAnsi"/>
          <w:b/>
          <w:bCs/>
        </w:rPr>
        <w:t>poziom celu długoterminowego</w:t>
      </w:r>
      <w:r>
        <w:rPr>
          <w:rFonts w:cs="Calibri" w:cstheme="minorHAnsi"/>
        </w:rPr>
        <w:t xml:space="preserve"> oznacza poziom substancji w powietrzu, który należy osiągnąć </w:t>
        <w:br/>
        <w:t>w dłuższej perspektywie - z wyjątkiem przypadków, gdy nie jest to możliwe w drodze zastosowania proporcjonalnych środków - w celu zapewnienia skutecznej ochrony zdrowia ludzkiego i środowiska.</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Kryteria klasyfikacji stref ze względu na ochronę zdrowia ludzi w zakresie 12 wcześniej wymienionych substancji uwzględnionych </w:t>
      </w:r>
      <w:r>
        <w:rPr>
          <w:rFonts w:cs="Calibri" w:cstheme="minorHAnsi"/>
          <w:b/>
          <w:bCs/>
        </w:rPr>
        <w:t>w ocenie dokonywanej</w:t>
      </w:r>
      <w:r>
        <w:rPr>
          <w:rFonts w:cs="Calibri" w:cstheme="minorHAnsi"/>
        </w:rPr>
        <w:t xml:space="preserve"> pod kątem spełnienia kryteriów określonych </w:t>
        <w:br/>
        <w:t xml:space="preserve">w celu </w:t>
      </w:r>
      <w:r>
        <w:rPr>
          <w:rFonts w:cs="Calibri" w:cstheme="minorHAnsi"/>
          <w:b/>
          <w:bCs/>
          <w:u w:val="single"/>
        </w:rPr>
        <w:t xml:space="preserve">ochrony zdrowia ludzi </w:t>
      </w:r>
      <w:r>
        <w:rPr>
          <w:rFonts w:cs="Calibri" w:cstheme="minorHAnsi"/>
        </w:rPr>
        <w:t xml:space="preserve">zamieszczono w tabeli poniżej.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Dla pyłu PM2,5 oraz ozonu zdefiniowane są kryteria dodatkowej klasyfikacji stref ze względu na ochronę zdrowia ludzi. Kryteria te zestawiono w tabelach poniżej.</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center"/>
        <w:rPr>
          <w:rFonts w:cs="Calibri" w:cstheme="minorHAnsi"/>
          <w:b/>
          <w:b/>
          <w:bCs/>
          <w:sz w:val="20"/>
          <w:szCs w:val="20"/>
        </w:rPr>
      </w:pPr>
      <w:bookmarkStart w:id="39" w:name="_Toc118887752"/>
      <w:bookmarkStart w:id="40" w:name="_Toc114224867"/>
      <w:bookmarkStart w:id="41" w:name="_Toc113967489"/>
      <w:r>
        <w:rPr>
          <w:rFonts w:cs="Calibri" w:cstheme="minorHAnsi"/>
          <w:sz w:val="20"/>
          <w:szCs w:val="20"/>
        </w:rPr>
        <w:t xml:space="preserve">Tabela </w:t>
      </w:r>
      <w:r>
        <w:rPr>
          <w:rFonts w:cs="Calibri" w:cstheme="minorHAnsi"/>
          <w:b/>
          <w:bCs/>
          <w:sz w:val="20"/>
          <w:szCs w:val="20"/>
        </w:rPr>
        <w:fldChar w:fldCharType="begin"/>
      </w:r>
      <w:r>
        <w:rPr>
          <w:sz w:val="20"/>
          <w:b/>
          <w:szCs w:val="20"/>
          <w:bCs/>
          <w:rFonts w:cs="Calibri"/>
        </w:rPr>
        <w:instrText xml:space="preserve"> SEQ Tabela \* ARABIC </w:instrText>
      </w:r>
      <w:r>
        <w:rPr>
          <w:sz w:val="20"/>
          <w:b/>
          <w:szCs w:val="20"/>
          <w:bCs/>
          <w:rFonts w:cs="Calibri"/>
        </w:rPr>
        <w:fldChar w:fldCharType="separate"/>
      </w:r>
      <w:r>
        <w:rPr>
          <w:sz w:val="20"/>
          <w:b/>
          <w:szCs w:val="20"/>
          <w:bCs/>
          <w:rFonts w:cs="Calibri"/>
        </w:rPr>
        <w:t>3</w:t>
      </w:r>
      <w:r>
        <w:rPr>
          <w:sz w:val="20"/>
          <w:b/>
          <w:szCs w:val="20"/>
          <w:bCs/>
          <w:rFonts w:cs="Calibri"/>
        </w:rPr>
        <w:fldChar w:fldCharType="end"/>
      </w:r>
      <w:r>
        <w:rPr>
          <w:rFonts w:cs="Calibri" w:cstheme="minorHAnsi"/>
          <w:sz w:val="20"/>
          <w:szCs w:val="20"/>
        </w:rPr>
        <w:t xml:space="preserve"> Kryteria klasyfikacji stref ze względu na ochronę zdrowia ludzi w zakresie: SO2 , NO2 ,CO, C6H6, PM10, PM2,5, Pb, As, Cd, Ni, BaP, O</w:t>
      </w:r>
      <w:r>
        <w:rPr>
          <w:rFonts w:cs="Calibri" w:cstheme="minorHAnsi"/>
          <w:sz w:val="20"/>
          <w:szCs w:val="20"/>
          <w:vertAlign w:val="subscript"/>
        </w:rPr>
        <w:t>3</w:t>
      </w:r>
      <w:bookmarkEnd w:id="39"/>
      <w:bookmarkEnd w:id="40"/>
      <w:bookmarkEnd w:id="41"/>
    </w:p>
    <w:tbl>
      <w:tblPr>
        <w:tblStyle w:val="TableNormal"/>
        <w:tblW w:w="10562" w:type="dxa"/>
        <w:jc w:val="left"/>
        <w:tblInd w:w="-714" w:type="dxa"/>
        <w:tblLayout w:type="fixed"/>
        <w:tblCellMar>
          <w:top w:w="0" w:type="dxa"/>
          <w:left w:w="5" w:type="dxa"/>
          <w:bottom w:w="0" w:type="dxa"/>
          <w:right w:w="5" w:type="dxa"/>
        </w:tblCellMar>
        <w:tblLook w:firstRow="1" w:noVBand="0" w:lastRow="1" w:firstColumn="1" w:lastColumn="1" w:noHBand="0" w:val="01e0"/>
      </w:tblPr>
      <w:tblGrid>
        <w:gridCol w:w="1982"/>
        <w:gridCol w:w="1771"/>
        <w:gridCol w:w="1350"/>
        <w:gridCol w:w="2805"/>
        <w:gridCol w:w="2654"/>
      </w:tblGrid>
      <w:tr>
        <w:trPr>
          <w:trHeight w:val="510" w:hRule="atLeast"/>
        </w:trPr>
        <w:tc>
          <w:tcPr>
            <w:tcW w:w="1982"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0" w:after="0"/>
              <w:jc w:val="center"/>
              <w:rPr>
                <w:rFonts w:eastAsia="Times New Roman" w:cs="Calibri" w:cstheme="minorHAnsi"/>
                <w:b/>
                <w:b/>
              </w:rPr>
            </w:pPr>
            <w:r>
              <w:rPr>
                <w:rFonts w:eastAsia="Times New Roman" w:cs="Calibri" w:cstheme="minorHAnsi"/>
                <w:b/>
                <w:kern w:val="0"/>
                <w:sz w:val="22"/>
                <w:szCs w:val="22"/>
                <w:lang w:eastAsia="en-US" w:bidi="ar-SA"/>
              </w:rPr>
              <w:t>Zanieczyszczenie</w:t>
            </w:r>
          </w:p>
        </w:tc>
        <w:tc>
          <w:tcPr>
            <w:tcW w:w="1771"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86" w:after="0"/>
              <w:ind w:right="144" w:hanging="0"/>
              <w:jc w:val="center"/>
              <w:rPr>
                <w:rFonts w:eastAsia="Times New Roman" w:cs="Calibri" w:cstheme="minorHAnsi"/>
                <w:b/>
                <w:b/>
              </w:rPr>
            </w:pPr>
            <w:r>
              <w:rPr>
                <w:rFonts w:eastAsia="Times New Roman" w:cs="Calibri" w:cstheme="minorHAnsi"/>
                <w:b/>
                <w:spacing w:val="-1"/>
                <w:kern w:val="0"/>
                <w:sz w:val="22"/>
                <w:szCs w:val="22"/>
                <w:lang w:eastAsia="en-US" w:bidi="ar-SA"/>
              </w:rPr>
              <w:t>Normowany</w:t>
            </w:r>
            <w:r>
              <w:rPr>
                <w:rFonts w:eastAsia="Times New Roman" w:cs="Calibri" w:cstheme="minorHAnsi"/>
                <w:b/>
                <w:spacing w:val="-42"/>
                <w:kern w:val="0"/>
                <w:sz w:val="22"/>
                <w:szCs w:val="22"/>
                <w:lang w:eastAsia="en-US" w:bidi="ar-SA"/>
              </w:rPr>
              <w:t xml:space="preserve"> </w:t>
            </w:r>
            <w:r>
              <w:rPr>
                <w:rFonts w:eastAsia="Times New Roman" w:cs="Calibri" w:cstheme="minorHAnsi"/>
                <w:b/>
                <w:kern w:val="0"/>
                <w:sz w:val="22"/>
                <w:szCs w:val="22"/>
                <w:lang w:eastAsia="en-US" w:bidi="ar-SA"/>
              </w:rPr>
              <w:t>poziom</w:t>
            </w:r>
          </w:p>
        </w:tc>
        <w:tc>
          <w:tcPr>
            <w:tcW w:w="1350"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86" w:after="0"/>
              <w:ind w:left="74" w:right="92" w:hanging="0"/>
              <w:jc w:val="center"/>
              <w:rPr>
                <w:rFonts w:eastAsia="Times New Roman" w:cs="Calibri" w:cstheme="minorHAnsi"/>
                <w:b/>
                <w:b/>
              </w:rPr>
            </w:pPr>
            <w:r>
              <w:rPr>
                <w:rFonts w:eastAsia="Times New Roman" w:cs="Calibri" w:cstheme="minorHAnsi"/>
                <w:b/>
                <w:kern w:val="0"/>
                <w:sz w:val="22"/>
                <w:szCs w:val="22"/>
                <w:lang w:eastAsia="en-US" w:bidi="ar-SA"/>
              </w:rPr>
              <w:t>Czas</w:t>
            </w:r>
            <w:r>
              <w:rPr>
                <w:rFonts w:eastAsia="Times New Roman" w:cs="Calibri" w:cstheme="minorHAnsi"/>
                <w:b/>
                <w:spacing w:val="1"/>
                <w:kern w:val="0"/>
                <w:sz w:val="22"/>
                <w:szCs w:val="22"/>
                <w:lang w:eastAsia="en-US" w:bidi="ar-SA"/>
              </w:rPr>
              <w:t xml:space="preserve"> </w:t>
            </w:r>
            <w:r>
              <w:rPr>
                <w:rFonts w:eastAsia="Times New Roman" w:cs="Calibri" w:cstheme="minorHAnsi"/>
                <w:b/>
                <w:spacing w:val="-1"/>
                <w:kern w:val="0"/>
                <w:sz w:val="22"/>
                <w:szCs w:val="22"/>
                <w:lang w:eastAsia="en-US" w:bidi="ar-SA"/>
              </w:rPr>
              <w:t>uśredniania</w:t>
            </w:r>
          </w:p>
        </w:tc>
        <w:tc>
          <w:tcPr>
            <w:tcW w:w="2805"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0" w:after="0"/>
              <w:ind w:right="1005" w:hanging="0"/>
              <w:jc w:val="center"/>
              <w:rPr>
                <w:rFonts w:eastAsia="Times New Roman" w:cs="Calibri" w:cstheme="minorHAnsi"/>
                <w:b/>
                <w:b/>
              </w:rPr>
            </w:pPr>
            <w:r>
              <w:rPr>
                <w:rFonts w:eastAsia="Times New Roman" w:cs="Calibri" w:cstheme="minorHAnsi"/>
                <w:b/>
                <w:kern w:val="0"/>
                <w:sz w:val="22"/>
                <w:szCs w:val="22"/>
                <w:lang w:eastAsia="en-US" w:bidi="ar-SA"/>
              </w:rPr>
              <w:t>Klasa</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A</w:t>
            </w:r>
          </w:p>
        </w:tc>
        <w:tc>
          <w:tcPr>
            <w:tcW w:w="2654"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0" w:after="0"/>
              <w:ind w:right="932" w:hanging="0"/>
              <w:jc w:val="center"/>
              <w:rPr>
                <w:rFonts w:eastAsia="Times New Roman" w:cs="Calibri" w:cstheme="minorHAnsi"/>
                <w:b/>
                <w:b/>
              </w:rPr>
            </w:pPr>
            <w:r>
              <w:rPr>
                <w:rFonts w:eastAsia="Times New Roman" w:cs="Calibri" w:cstheme="minorHAnsi"/>
                <w:b/>
                <w:kern w:val="0"/>
                <w:sz w:val="22"/>
                <w:szCs w:val="22"/>
                <w:lang w:eastAsia="en-US" w:bidi="ar-SA"/>
              </w:rPr>
              <w:t>Klasa</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C</w:t>
            </w:r>
          </w:p>
        </w:tc>
      </w:tr>
      <w:tr>
        <w:trPr>
          <w:trHeight w:val="467"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3" w:after="0"/>
              <w:ind w:left="69" w:hanging="0"/>
              <w:jc w:val="center"/>
              <w:rPr>
                <w:rFonts w:eastAsia="Times New Roman" w:cs="Calibri" w:cstheme="minorHAnsi"/>
              </w:rPr>
            </w:pPr>
            <w:r>
              <w:rPr>
                <w:rFonts w:eastAsia="Times New Roman" w:cs="Calibri" w:cstheme="minorHAnsi"/>
                <w:kern w:val="0"/>
                <w:sz w:val="22"/>
                <w:szCs w:val="22"/>
                <w:lang w:eastAsia="en-US" w:bidi="ar-SA"/>
              </w:rPr>
              <w:t>dwutlenek</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siarki</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3"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3" w:after="0"/>
              <w:ind w:left="69" w:hanging="0"/>
              <w:jc w:val="center"/>
              <w:rPr>
                <w:rFonts w:eastAsia="Times New Roman" w:cs="Calibri" w:cstheme="minorHAnsi"/>
              </w:rPr>
            </w:pPr>
            <w:r>
              <w:rPr>
                <w:rFonts w:eastAsia="Times New Roman" w:cs="Calibri" w:cstheme="minorHAnsi"/>
                <w:kern w:val="0"/>
                <w:sz w:val="22"/>
                <w:szCs w:val="22"/>
                <w:lang w:eastAsia="en-US" w:bidi="ar-SA"/>
              </w:rPr>
              <w:t>1-godz.</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7" w:after="0"/>
              <w:ind w:left="72" w:right="151" w:hanging="0"/>
              <w:jc w:val="center"/>
              <w:rPr>
                <w:rFonts w:eastAsia="Times New Roman" w:cs="Calibri" w:cstheme="minorHAnsi"/>
              </w:rPr>
            </w:pPr>
            <w:r>
              <w:rPr>
                <w:rFonts w:eastAsia="Times New Roman" w:cs="Calibri" w:cstheme="minorHAnsi"/>
                <w:kern w:val="0"/>
                <w:sz w:val="22"/>
                <w:szCs w:val="22"/>
                <w:lang w:eastAsia="en-US" w:bidi="ar-SA"/>
              </w:rPr>
              <w:t>nie więcej niż 24 stężenia 1-godz.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S1 &gt;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350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7" w:after="0"/>
              <w:ind w:left="74" w:right="267" w:hanging="0"/>
              <w:jc w:val="center"/>
              <w:rPr>
                <w:rFonts w:eastAsia="Times New Roman" w:cs="Calibri" w:cstheme="minorHAnsi"/>
              </w:rPr>
            </w:pPr>
            <w:r>
              <w:rPr>
                <w:rFonts w:eastAsia="Times New Roman" w:cs="Calibri" w:cstheme="minorHAnsi"/>
                <w:kern w:val="0"/>
                <w:sz w:val="22"/>
                <w:szCs w:val="22"/>
                <w:lang w:eastAsia="en-US" w:bidi="ar-SA"/>
              </w:rPr>
              <w:t>więcej niż 24 stężenia 1-godz.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350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433"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4" w:after="0"/>
              <w:ind w:left="69" w:hanging="0"/>
              <w:jc w:val="center"/>
              <w:rPr>
                <w:rFonts w:eastAsia="Times New Roman" w:cs="Calibri" w:cstheme="minorHAnsi"/>
              </w:rPr>
            </w:pPr>
            <w:r>
              <w:rPr>
                <w:rFonts w:eastAsia="Times New Roman" w:cs="Calibri" w:cstheme="minorHAnsi"/>
                <w:kern w:val="0"/>
                <w:sz w:val="22"/>
                <w:szCs w:val="22"/>
                <w:lang w:eastAsia="en-US" w:bidi="ar-SA"/>
              </w:rPr>
              <w:t>dwutlenek</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siarki</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4"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4" w:after="0"/>
              <w:ind w:left="69" w:hanging="0"/>
              <w:jc w:val="center"/>
              <w:rPr>
                <w:rFonts w:eastAsia="Times New Roman" w:cs="Calibri" w:cstheme="minorHAnsi"/>
              </w:rPr>
            </w:pPr>
            <w:r>
              <w:rPr>
                <w:rFonts w:eastAsia="Times New Roman" w:cs="Calibri" w:cstheme="minorHAnsi"/>
                <w:kern w:val="0"/>
                <w:sz w:val="22"/>
                <w:szCs w:val="22"/>
                <w:lang w:eastAsia="en-US" w:bidi="ar-SA"/>
              </w:rPr>
              <w:t>24-godz.</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2" w:right="151" w:hanging="0"/>
              <w:jc w:val="center"/>
              <w:rPr>
                <w:rFonts w:eastAsia="Times New Roman" w:cs="Calibri" w:cstheme="minorHAnsi"/>
              </w:rPr>
            </w:pPr>
            <w:r>
              <w:rPr>
                <w:rFonts w:eastAsia="Times New Roman" w:cs="Calibri" w:cstheme="minorHAnsi"/>
                <w:kern w:val="0"/>
                <w:sz w:val="22"/>
                <w:szCs w:val="22"/>
                <w:lang w:eastAsia="en-US" w:bidi="ar-SA"/>
              </w:rPr>
              <w:t>nie więcej niż 3 stężenia 24-godz.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S24</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 125</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4" w:right="267" w:hanging="0"/>
              <w:jc w:val="center"/>
              <w:rPr>
                <w:rFonts w:eastAsia="Times New Roman" w:cs="Calibri" w:cstheme="minorHAnsi"/>
              </w:rPr>
            </w:pPr>
            <w:r>
              <w:rPr>
                <w:rFonts w:eastAsia="Times New Roman" w:cs="Calibri" w:cstheme="minorHAnsi"/>
                <w:kern w:val="0"/>
                <w:sz w:val="22"/>
                <w:szCs w:val="22"/>
                <w:lang w:eastAsia="en-US" w:bidi="ar-SA"/>
              </w:rPr>
              <w:t>więcej niż 3 stężenia 24-godz.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S24</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125</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468"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5" w:after="0"/>
              <w:ind w:left="69" w:hanging="0"/>
              <w:jc w:val="center"/>
              <w:rPr>
                <w:rFonts w:eastAsia="Times New Roman" w:cs="Calibri" w:cstheme="minorHAnsi"/>
              </w:rPr>
            </w:pPr>
            <w:r>
              <w:rPr>
                <w:rFonts w:eastAsia="Times New Roman" w:cs="Calibri" w:cstheme="minorHAnsi"/>
                <w:kern w:val="0"/>
                <w:sz w:val="22"/>
                <w:szCs w:val="22"/>
                <w:lang w:eastAsia="en-US" w:bidi="ar-SA"/>
              </w:rPr>
              <w:t>dwutlenek</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azotu</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5"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5" w:after="0"/>
              <w:ind w:left="69" w:hanging="0"/>
              <w:jc w:val="center"/>
              <w:rPr>
                <w:rFonts w:eastAsia="Times New Roman" w:cs="Calibri" w:cstheme="minorHAnsi"/>
              </w:rPr>
            </w:pPr>
            <w:r>
              <w:rPr>
                <w:rFonts w:eastAsia="Times New Roman" w:cs="Calibri" w:cstheme="minorHAnsi"/>
                <w:kern w:val="0"/>
                <w:sz w:val="22"/>
                <w:szCs w:val="22"/>
                <w:lang w:eastAsia="en-US" w:bidi="ar-SA"/>
              </w:rPr>
              <w:t>1-godz.</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7" w:after="0"/>
              <w:ind w:left="72" w:right="280" w:hanging="0"/>
              <w:jc w:val="center"/>
              <w:rPr>
                <w:rFonts w:eastAsia="Times New Roman" w:cs="Calibri" w:cstheme="minorHAnsi"/>
              </w:rPr>
            </w:pPr>
            <w:r>
              <w:rPr>
                <w:rFonts w:eastAsia="Times New Roman" w:cs="Calibri" w:cstheme="minorHAnsi"/>
                <w:kern w:val="0"/>
                <w:sz w:val="22"/>
                <w:szCs w:val="22"/>
                <w:lang w:eastAsia="en-US" w:bidi="ar-SA"/>
              </w:rPr>
              <w:t>nie więcej niż 18 stężeń 1-godz.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S1 &gt;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200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7" w:after="0"/>
              <w:ind w:left="74" w:right="397" w:hanging="0"/>
              <w:jc w:val="center"/>
              <w:rPr>
                <w:rFonts w:eastAsia="Times New Roman" w:cs="Calibri" w:cstheme="minorHAnsi"/>
              </w:rPr>
            </w:pPr>
            <w:r>
              <w:rPr>
                <w:rFonts w:eastAsia="Times New Roman" w:cs="Calibri" w:cstheme="minorHAnsi"/>
                <w:kern w:val="0"/>
                <w:sz w:val="22"/>
                <w:szCs w:val="22"/>
                <w:lang w:eastAsia="en-US" w:bidi="ar-SA"/>
              </w:rPr>
              <w:t>więcej niż 18 stężeń 1-godz.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200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251"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dwutlenek</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azotu</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40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40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250"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tlenek</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węgla</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8-godz.</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2" w:hanging="0"/>
              <w:jc w:val="center"/>
              <w:rPr>
                <w:rFonts w:eastAsia="Times New Roman" w:cs="Calibri" w:cstheme="minorHAnsi"/>
              </w:rPr>
            </w:pPr>
            <w:r>
              <w:rPr>
                <w:rFonts w:eastAsia="Times New Roman" w:cs="Calibri" w:cstheme="minorHAnsi"/>
                <w:kern w:val="0"/>
                <w:sz w:val="22"/>
                <w:szCs w:val="22"/>
                <w:lang w:eastAsia="en-US" w:bidi="ar-SA"/>
              </w:rPr>
              <w:t>S8max</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10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mg/m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4" w:hanging="0"/>
              <w:jc w:val="center"/>
              <w:rPr>
                <w:rFonts w:eastAsia="Times New Roman" w:cs="Calibri" w:cstheme="minorHAnsi"/>
              </w:rPr>
            </w:pPr>
            <w:r>
              <w:rPr>
                <w:rFonts w:eastAsia="Times New Roman" w:cs="Calibri" w:cstheme="minorHAnsi"/>
                <w:kern w:val="0"/>
                <w:sz w:val="22"/>
                <w:szCs w:val="22"/>
                <w:lang w:eastAsia="en-US" w:bidi="ar-SA"/>
              </w:rPr>
              <w:t>S8max</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10 mg/m</w:t>
            </w:r>
            <w:r>
              <w:rPr>
                <w:rFonts w:eastAsia="Times New Roman" w:cs="Calibri" w:cstheme="minorHAnsi"/>
                <w:kern w:val="0"/>
                <w:sz w:val="22"/>
                <w:szCs w:val="22"/>
                <w:vertAlign w:val="superscript"/>
                <w:lang w:eastAsia="en-US" w:bidi="ar-SA"/>
              </w:rPr>
              <w:t>3</w:t>
            </w:r>
          </w:p>
        </w:tc>
      </w:tr>
      <w:tr>
        <w:trPr>
          <w:trHeight w:val="251"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benzen</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5 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4" w:hanging="0"/>
              <w:jc w:val="center"/>
              <w:rPr>
                <w:rFonts w:eastAsia="Times New Roman" w:cs="Calibri" w:cstheme="minorHAnsi"/>
              </w:rPr>
            </w:pPr>
            <w:r>
              <w:rPr>
                <w:rFonts w:eastAsia="Times New Roman" w:cs="Calibri" w:cstheme="minorHAnsi"/>
                <w:kern w:val="0"/>
                <w:sz w:val="22"/>
                <w:szCs w:val="22"/>
                <w:lang w:eastAsia="en-US" w:bidi="ar-SA"/>
              </w:rPr>
              <w:t>Sa&gt;5</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468"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59" w:after="0"/>
              <w:ind w:left="69" w:right="350" w:hanging="0"/>
              <w:jc w:val="center"/>
              <w:rPr>
                <w:rFonts w:eastAsia="Times New Roman" w:cs="Calibri" w:cstheme="minorHAnsi"/>
              </w:rPr>
            </w:pPr>
            <w:r>
              <w:rPr>
                <w:rFonts w:eastAsia="Times New Roman" w:cs="Calibri" w:cstheme="minorHAnsi"/>
                <w:spacing w:val="-1"/>
                <w:kern w:val="0"/>
                <w:sz w:val="22"/>
                <w:szCs w:val="22"/>
                <w:lang w:eastAsia="en-US" w:bidi="ar-SA"/>
              </w:rPr>
              <w:t xml:space="preserve">pył </w:t>
            </w:r>
            <w:r>
              <w:rPr>
                <w:rFonts w:eastAsia="Times New Roman" w:cs="Calibri" w:cstheme="minorHAnsi"/>
                <w:kern w:val="0"/>
                <w:sz w:val="22"/>
                <w:szCs w:val="22"/>
                <w:lang w:eastAsia="en-US" w:bidi="ar-SA"/>
              </w:rPr>
              <w:t>zawieszony</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PM10</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5"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65" w:after="0"/>
              <w:ind w:left="69" w:hanging="0"/>
              <w:jc w:val="center"/>
              <w:rPr>
                <w:rFonts w:eastAsia="Times New Roman" w:cs="Calibri" w:cstheme="minorHAnsi"/>
              </w:rPr>
            </w:pPr>
            <w:r>
              <w:rPr>
                <w:rFonts w:eastAsia="Times New Roman" w:cs="Calibri" w:cstheme="minorHAnsi"/>
                <w:kern w:val="0"/>
                <w:sz w:val="22"/>
                <w:szCs w:val="22"/>
                <w:lang w:eastAsia="en-US" w:bidi="ar-SA"/>
              </w:rPr>
              <w:t>24-godz.</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7" w:after="0"/>
              <w:ind w:left="72" w:right="190" w:hanging="0"/>
              <w:jc w:val="center"/>
              <w:rPr>
                <w:rFonts w:eastAsia="Times New Roman" w:cs="Calibri" w:cstheme="minorHAnsi"/>
              </w:rPr>
            </w:pPr>
            <w:r>
              <w:rPr>
                <w:rFonts w:eastAsia="Times New Roman" w:cs="Calibri" w:cstheme="minorHAnsi"/>
                <w:kern w:val="0"/>
                <w:sz w:val="22"/>
                <w:szCs w:val="22"/>
                <w:lang w:eastAsia="en-US" w:bidi="ar-SA"/>
              </w:rPr>
              <w:t>nie więcej niż 35 stężeń 24-godz.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S24</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 50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7" w:after="0"/>
              <w:ind w:left="74" w:right="307" w:hanging="0"/>
              <w:jc w:val="center"/>
              <w:rPr>
                <w:rFonts w:eastAsia="Times New Roman" w:cs="Calibri" w:cstheme="minorHAnsi"/>
              </w:rPr>
            </w:pPr>
            <w:r>
              <w:rPr>
                <w:rFonts w:eastAsia="Times New Roman" w:cs="Calibri" w:cstheme="minorHAnsi"/>
                <w:kern w:val="0"/>
                <w:sz w:val="22"/>
                <w:szCs w:val="22"/>
                <w:lang w:eastAsia="en-US" w:bidi="ar-SA"/>
              </w:rPr>
              <w:t>więcej niż 35 stężeń 24-godz.</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S24</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50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433"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right="350" w:hanging="0"/>
              <w:jc w:val="center"/>
              <w:rPr>
                <w:rFonts w:eastAsia="Times New Roman" w:cs="Calibri" w:cstheme="minorHAnsi"/>
              </w:rPr>
            </w:pPr>
            <w:r>
              <w:rPr>
                <w:rFonts w:eastAsia="Times New Roman" w:cs="Calibri" w:cstheme="minorHAnsi"/>
                <w:spacing w:val="-1"/>
                <w:kern w:val="0"/>
                <w:sz w:val="22"/>
                <w:szCs w:val="22"/>
                <w:lang w:eastAsia="en-US" w:bidi="ar-SA"/>
              </w:rPr>
              <w:t xml:space="preserve">pył </w:t>
            </w:r>
            <w:r>
              <w:rPr>
                <w:rFonts w:eastAsia="Times New Roman" w:cs="Calibri" w:cstheme="minorHAnsi"/>
                <w:kern w:val="0"/>
                <w:sz w:val="22"/>
                <w:szCs w:val="22"/>
                <w:lang w:eastAsia="en-US" w:bidi="ar-SA"/>
              </w:rPr>
              <w:t>zawieszony</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PM10</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40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40 µg/m</w:t>
            </w:r>
            <w:r>
              <w:rPr>
                <w:rFonts w:eastAsia="Times New Roman" w:cs="Calibri" w:cstheme="minorHAnsi"/>
                <w:kern w:val="0"/>
                <w:sz w:val="22"/>
                <w:szCs w:val="22"/>
                <w:vertAlign w:val="superscript"/>
                <w:lang w:eastAsia="en-US" w:bidi="ar-SA"/>
              </w:rPr>
              <w:t>3</w:t>
            </w:r>
          </w:p>
        </w:tc>
      </w:tr>
      <w:tr>
        <w:trPr>
          <w:trHeight w:val="43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right="350" w:hanging="0"/>
              <w:jc w:val="center"/>
              <w:rPr>
                <w:rFonts w:eastAsia="Times New Roman" w:cs="Calibri" w:cstheme="minorHAnsi"/>
              </w:rPr>
            </w:pPr>
            <w:r>
              <w:rPr>
                <w:rFonts w:eastAsia="Times New Roman" w:cs="Calibri" w:cstheme="minorHAnsi"/>
                <w:spacing w:val="-1"/>
                <w:kern w:val="0"/>
                <w:sz w:val="22"/>
                <w:szCs w:val="22"/>
                <w:lang w:eastAsia="en-US" w:bidi="ar-SA"/>
              </w:rPr>
              <w:t xml:space="preserve">pył </w:t>
            </w:r>
            <w:r>
              <w:rPr>
                <w:rFonts w:eastAsia="Times New Roman" w:cs="Calibri" w:cstheme="minorHAnsi"/>
                <w:kern w:val="0"/>
                <w:sz w:val="22"/>
                <w:szCs w:val="22"/>
                <w:lang w:eastAsia="en-US" w:bidi="ar-SA"/>
              </w:rPr>
              <w:t>zawieszony</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PM2,5</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69" w:right="76" w:hanging="0"/>
              <w:jc w:val="center"/>
              <w:rPr>
                <w:rFonts w:eastAsia="Times New Roman" w:cs="Calibri" w:cstheme="minorHAnsi"/>
              </w:rPr>
            </w:pPr>
            <w:r>
              <w:rPr>
                <w:rFonts w:eastAsia="Times New Roman" w:cs="Calibri" w:cstheme="minorHAnsi"/>
                <w:spacing w:val="-1"/>
                <w:kern w:val="0"/>
                <w:sz w:val="22"/>
                <w:szCs w:val="22"/>
                <w:lang w:eastAsia="en-US" w:bidi="ar-SA"/>
              </w:rPr>
              <w:t xml:space="preserve">dopuszczalny </w:t>
            </w:r>
            <w:r>
              <w:rPr>
                <w:rFonts w:eastAsia="Times New Roman" w:cs="Calibri" w:cstheme="minorHAnsi"/>
                <w:kern w:val="0"/>
                <w:sz w:val="22"/>
                <w:szCs w:val="22"/>
                <w:lang w:eastAsia="en-US" w:bidi="ar-SA"/>
              </w:rPr>
              <w:t>–</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faza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I*</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25</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25 µg/m</w:t>
            </w:r>
            <w:r>
              <w:rPr>
                <w:rFonts w:eastAsia="Times New Roman" w:cs="Calibri" w:cstheme="minorHAnsi"/>
                <w:kern w:val="0"/>
                <w:sz w:val="22"/>
                <w:szCs w:val="22"/>
                <w:vertAlign w:val="superscript"/>
                <w:lang w:eastAsia="en-US" w:bidi="ar-SA"/>
              </w:rPr>
              <w:t>3</w:t>
            </w:r>
          </w:p>
        </w:tc>
      </w:tr>
      <w:tr>
        <w:trPr>
          <w:trHeight w:val="25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ołów</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2" w:hanging="0"/>
              <w:jc w:val="center"/>
              <w:rPr>
                <w:rFonts w:eastAsia="Times New Roman" w:cs="Calibri" w:cstheme="minorHAnsi"/>
              </w:rPr>
            </w:pPr>
            <w:r>
              <w:rPr>
                <w:rFonts w:eastAsia="Times New Roman" w:cs="Calibri" w:cstheme="minorHAnsi"/>
                <w:kern w:val="0"/>
                <w:sz w:val="22"/>
                <w:szCs w:val="22"/>
                <w:lang w:eastAsia="en-US" w:bidi="ar-SA"/>
              </w:rPr>
              <w:t>Sa&lt;=0.5</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0.5</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r>
      <w:tr>
        <w:trPr>
          <w:trHeight w:val="25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arsen</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docelowy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6 ng/m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6 ng/m</w:t>
            </w:r>
            <w:r>
              <w:rPr>
                <w:rFonts w:eastAsia="Times New Roman" w:cs="Calibri" w:cstheme="minorHAnsi"/>
                <w:kern w:val="0"/>
                <w:sz w:val="22"/>
                <w:szCs w:val="22"/>
                <w:vertAlign w:val="superscript"/>
                <w:lang w:eastAsia="en-US" w:bidi="ar-SA"/>
              </w:rPr>
              <w:t>3</w:t>
            </w:r>
          </w:p>
        </w:tc>
      </w:tr>
      <w:tr>
        <w:trPr>
          <w:trHeight w:val="25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kadm</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docelowy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5 ng/m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5 ng/m</w:t>
            </w:r>
            <w:r>
              <w:rPr>
                <w:rFonts w:eastAsia="Times New Roman" w:cs="Calibri" w:cstheme="minorHAnsi"/>
                <w:kern w:val="0"/>
                <w:sz w:val="22"/>
                <w:szCs w:val="22"/>
                <w:vertAlign w:val="superscript"/>
                <w:lang w:eastAsia="en-US" w:bidi="ar-SA"/>
              </w:rPr>
              <w:t>3</w:t>
            </w:r>
          </w:p>
        </w:tc>
      </w:tr>
      <w:tr>
        <w:trPr>
          <w:trHeight w:val="25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nikiel</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docelowy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20</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ng/m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20</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ng/m</w:t>
            </w:r>
            <w:r>
              <w:rPr>
                <w:rFonts w:eastAsia="Times New Roman" w:cs="Calibri" w:cstheme="minorHAnsi"/>
                <w:kern w:val="0"/>
                <w:sz w:val="22"/>
                <w:szCs w:val="22"/>
                <w:vertAlign w:val="superscript"/>
                <w:lang w:eastAsia="en-US" w:bidi="ar-SA"/>
              </w:rPr>
              <w:t>3</w:t>
            </w:r>
          </w:p>
        </w:tc>
      </w:tr>
      <w:tr>
        <w:trPr>
          <w:trHeight w:val="25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benzo(a)piren</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docelowy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rok</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2"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1 ng/m</w:t>
            </w:r>
            <w:r>
              <w:rPr>
                <w:rFonts w:eastAsia="Times New Roman" w:cs="Calibri" w:cstheme="minorHAnsi"/>
                <w:kern w:val="0"/>
                <w:sz w:val="22"/>
                <w:szCs w:val="22"/>
                <w:vertAlign w:val="superscript"/>
                <w:lang w:eastAsia="en-US" w:bidi="ar-SA"/>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1" w:after="0"/>
              <w:ind w:left="74"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1 ng/m</w:t>
            </w:r>
            <w:r>
              <w:rPr>
                <w:rFonts w:eastAsia="Times New Roman" w:cs="Calibri" w:cstheme="minorHAnsi"/>
                <w:kern w:val="0"/>
                <w:sz w:val="22"/>
                <w:szCs w:val="22"/>
                <w:vertAlign w:val="superscript"/>
                <w:lang w:eastAsia="en-US" w:bidi="ar-SA"/>
              </w:rPr>
              <w:t>3</w:t>
            </w:r>
          </w:p>
        </w:tc>
      </w:tr>
      <w:tr>
        <w:trPr>
          <w:trHeight w:val="252" w:hRule="atLeast"/>
        </w:trPr>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ozon</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docelowy</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41" w:after="0"/>
              <w:ind w:left="69" w:hanging="0"/>
              <w:jc w:val="center"/>
              <w:rPr>
                <w:rFonts w:eastAsia="Times New Roman" w:cs="Calibri" w:cstheme="minorHAnsi"/>
              </w:rPr>
            </w:pPr>
            <w:r>
              <w:rPr>
                <w:rFonts w:eastAsia="Times New Roman" w:cs="Calibri" w:cstheme="minorHAnsi"/>
                <w:kern w:val="0"/>
                <w:sz w:val="22"/>
                <w:szCs w:val="22"/>
                <w:lang w:eastAsia="en-US" w:bidi="ar-SA"/>
              </w:rPr>
              <w:t>8-godz.</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80" w:before="35" w:after="0"/>
              <w:ind w:left="72" w:right="121" w:hanging="0"/>
              <w:jc w:val="center"/>
              <w:rPr>
                <w:rFonts w:eastAsia="Times New Roman" w:cs="Calibri" w:cstheme="minorHAnsi"/>
              </w:rPr>
            </w:pPr>
            <w:r>
              <w:rPr>
                <w:rFonts w:eastAsia="Times New Roman" w:cs="Calibri" w:cstheme="minorHAnsi"/>
                <w:kern w:val="0"/>
                <w:sz w:val="22"/>
                <w:szCs w:val="22"/>
                <w:lang w:eastAsia="en-US" w:bidi="ar-SA"/>
              </w:rPr>
              <w:t>nie więcej niż 25 dni ze stężeniem</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S8max_d</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120</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p>
            <w:pPr>
              <w:pStyle w:val="Normal"/>
              <w:widowControl w:val="false"/>
              <w:spacing w:lineRule="auto" w:line="240" w:before="41" w:after="0"/>
              <w:ind w:left="72" w:hanging="0"/>
              <w:jc w:val="center"/>
              <w:rPr>
                <w:rFonts w:eastAsia="Times New Roman" w:cs="Calibri" w:cstheme="minorHAnsi"/>
              </w:rPr>
            </w:pPr>
            <w:r>
              <w:rPr>
                <w:rFonts w:eastAsia="Times New Roman" w:cs="Calibri" w:cstheme="minorHAnsi"/>
                <w:kern w:val="0"/>
                <w:sz w:val="22"/>
                <w:szCs w:val="22"/>
                <w:lang w:eastAsia="en-US" w:bidi="ar-SA"/>
              </w:rPr>
              <w:t>(średnio dla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ostatnich 3</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lat)</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80" w:before="35" w:after="0"/>
              <w:ind w:left="74" w:right="237" w:hanging="0"/>
              <w:jc w:val="center"/>
              <w:rPr>
                <w:rFonts w:eastAsia="Times New Roman" w:cs="Calibri" w:cstheme="minorHAnsi"/>
              </w:rPr>
            </w:pPr>
            <w:r>
              <w:rPr>
                <w:rFonts w:eastAsia="Times New Roman" w:cs="Calibri" w:cstheme="minorHAnsi"/>
                <w:kern w:val="0"/>
                <w:sz w:val="22"/>
                <w:szCs w:val="22"/>
                <w:lang w:eastAsia="en-US" w:bidi="ar-SA"/>
              </w:rPr>
              <w:t>więcej niż 25 dni ze stężeniem</w:t>
            </w:r>
            <w:r>
              <w:rPr>
                <w:rFonts w:eastAsia="Times New Roman" w:cs="Calibri" w:cstheme="minorHAnsi"/>
                <w:spacing w:val="-43"/>
                <w:kern w:val="0"/>
                <w:sz w:val="22"/>
                <w:szCs w:val="22"/>
                <w:lang w:eastAsia="en-US" w:bidi="ar-SA"/>
              </w:rPr>
              <w:t xml:space="preserve"> </w:t>
            </w:r>
            <w:r>
              <w:rPr>
                <w:rFonts w:eastAsia="Times New Roman" w:cs="Calibri" w:cstheme="minorHAnsi"/>
                <w:kern w:val="0"/>
                <w:sz w:val="22"/>
                <w:szCs w:val="22"/>
                <w:lang w:eastAsia="en-US" w:bidi="ar-SA"/>
              </w:rPr>
              <w:t>S8max_d</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120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p>
            <w:pPr>
              <w:pStyle w:val="Normal"/>
              <w:widowControl w:val="false"/>
              <w:spacing w:lineRule="auto" w:line="240" w:before="41" w:after="0"/>
              <w:ind w:left="74" w:hanging="0"/>
              <w:jc w:val="center"/>
              <w:rPr>
                <w:rFonts w:eastAsia="Times New Roman" w:cs="Calibri" w:cstheme="minorHAnsi"/>
              </w:rPr>
            </w:pPr>
            <w:r>
              <w:rPr>
                <w:rFonts w:eastAsia="Times New Roman" w:cs="Calibri" w:cstheme="minorHAnsi"/>
                <w:kern w:val="0"/>
                <w:sz w:val="22"/>
                <w:szCs w:val="22"/>
                <w:lang w:eastAsia="en-US" w:bidi="ar-SA"/>
              </w:rPr>
              <w:t>(średnio dla</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ostatnich 3</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lat)</w:t>
            </w:r>
          </w:p>
        </w:tc>
      </w:tr>
    </w:tbl>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Źródło: Roczna ocena jakości powietrza w województwie świętokrzyskim (raport wojewódzki za rok 2020)</w:t>
      </w:r>
    </w:p>
    <w:p>
      <w:pPr>
        <w:pStyle w:val="Normal"/>
        <w:widowControl w:val="false"/>
        <w:tabs>
          <w:tab w:val="clear" w:pos="720"/>
          <w:tab w:val="left" w:pos="478" w:leader="none"/>
        </w:tabs>
        <w:spacing w:lineRule="auto" w:line="240" w:before="0" w:after="0"/>
        <w:jc w:val="both"/>
        <w:rPr>
          <w:rFonts w:eastAsia="Arimo" w:cs="Calibri" w:cstheme="minorHAnsi"/>
          <w:sz w:val="20"/>
          <w:szCs w:val="20"/>
        </w:rPr>
      </w:pPr>
      <w:r>
        <w:rPr>
          <w:rFonts w:eastAsia="Arimo" w:cs="Calibri" w:cstheme="minorHAnsi"/>
          <w:sz w:val="20"/>
          <w:szCs w:val="20"/>
        </w:rPr>
      </w:r>
    </w:p>
    <w:p>
      <w:pPr>
        <w:pStyle w:val="Normal"/>
        <w:widowControl w:val="false"/>
        <w:tabs>
          <w:tab w:val="clear" w:pos="720"/>
          <w:tab w:val="left" w:pos="478" w:leader="none"/>
        </w:tabs>
        <w:spacing w:lineRule="auto" w:line="240" w:before="0" w:after="0"/>
        <w:jc w:val="both"/>
        <w:rPr>
          <w:rFonts w:eastAsia="Arimo" w:cs="Calibri" w:cstheme="minorHAnsi"/>
          <w:sz w:val="20"/>
          <w:szCs w:val="20"/>
        </w:rPr>
      </w:pPr>
      <w:r>
        <w:rPr>
          <w:rFonts w:eastAsia="Arimo" w:cs="Calibri" w:cstheme="minorHAnsi"/>
          <w:sz w:val="20"/>
          <w:szCs w:val="20"/>
        </w:rPr>
        <w:t>Objaśnienia do tabeli:</w:t>
      </w:r>
    </w:p>
    <w:p>
      <w:pPr>
        <w:pStyle w:val="Normal"/>
        <w:spacing w:lineRule="auto" w:line="240" w:before="0" w:after="0"/>
        <w:jc w:val="both"/>
        <w:rPr>
          <w:rFonts w:eastAsia="Arimo" w:cs="Calibri" w:cstheme="minorHAnsi"/>
          <w:sz w:val="20"/>
          <w:szCs w:val="20"/>
        </w:rPr>
      </w:pPr>
      <w:r>
        <w:rPr>
          <w:rFonts w:eastAsia="Arimo" w:cs="Calibri" w:cstheme="minorHAnsi"/>
          <w:b/>
          <w:bCs/>
          <w:sz w:val="20"/>
          <w:szCs w:val="20"/>
        </w:rPr>
        <w:t>Sa</w:t>
      </w:r>
      <w:r>
        <w:rPr>
          <w:rFonts w:eastAsia="Arimo" w:cs="Calibri" w:cstheme="minorHAnsi"/>
          <w:sz w:val="20"/>
          <w:szCs w:val="20"/>
        </w:rPr>
        <w:t>- stężenie średnie roczne S1 – stężenie 1-godzinne,</w:t>
      </w:r>
    </w:p>
    <w:p>
      <w:pPr>
        <w:pStyle w:val="Normal"/>
        <w:spacing w:lineRule="auto" w:line="240" w:before="0" w:after="0"/>
        <w:jc w:val="both"/>
        <w:rPr>
          <w:rFonts w:eastAsia="Arimo" w:cs="Calibri" w:cstheme="minorHAnsi"/>
          <w:sz w:val="20"/>
          <w:szCs w:val="20"/>
        </w:rPr>
      </w:pPr>
      <w:r>
        <w:rPr>
          <w:rFonts w:eastAsia="Arimo" w:cs="Calibri" w:cstheme="minorHAnsi"/>
          <w:b/>
          <w:bCs/>
          <w:sz w:val="20"/>
          <w:szCs w:val="20"/>
        </w:rPr>
        <w:t>S24</w:t>
      </w:r>
      <w:r>
        <w:rPr>
          <w:rFonts w:eastAsia="Arimo" w:cs="Calibri" w:cstheme="minorHAnsi"/>
          <w:sz w:val="20"/>
          <w:szCs w:val="20"/>
        </w:rPr>
        <w:t xml:space="preserve"> – stężenie średnie dobowe,</w:t>
      </w:r>
    </w:p>
    <w:p>
      <w:pPr>
        <w:pStyle w:val="Normal"/>
        <w:spacing w:lineRule="auto" w:line="240" w:before="0" w:after="0"/>
        <w:jc w:val="both"/>
        <w:rPr>
          <w:rFonts w:eastAsia="Arimo" w:cs="Calibri" w:cstheme="minorHAnsi"/>
          <w:sz w:val="20"/>
          <w:szCs w:val="20"/>
        </w:rPr>
      </w:pPr>
      <w:r>
        <w:rPr>
          <w:rFonts w:eastAsia="Arimo" w:cs="Calibri" w:cstheme="minorHAnsi"/>
          <w:b/>
          <w:bCs/>
          <w:sz w:val="20"/>
          <w:szCs w:val="20"/>
        </w:rPr>
        <w:t xml:space="preserve">S8max </w:t>
      </w:r>
      <w:r>
        <w:rPr>
          <w:rFonts w:eastAsia="Arimo" w:cs="Calibri" w:cstheme="minorHAnsi"/>
          <w:sz w:val="20"/>
          <w:szCs w:val="20"/>
        </w:rPr>
        <w:t xml:space="preserve">– maksimum ze stężeń średnich ośmiogodzinnych kroczących (obliczanych ze stężeń 1-godzinnych) </w:t>
        <w:br/>
        <w:t>w ciągu roku kalendarzowego,</w:t>
      </w:r>
    </w:p>
    <w:p>
      <w:pPr>
        <w:pStyle w:val="Normal"/>
        <w:spacing w:lineRule="auto" w:line="240" w:before="0" w:after="0"/>
        <w:jc w:val="both"/>
        <w:rPr>
          <w:rFonts w:eastAsia="Arimo" w:cs="Calibri" w:cstheme="minorHAnsi"/>
          <w:sz w:val="20"/>
          <w:szCs w:val="20"/>
        </w:rPr>
      </w:pPr>
      <w:r>
        <w:rPr>
          <w:rFonts w:eastAsia="Arimo" w:cs="Calibri" w:cstheme="minorHAnsi"/>
          <w:b/>
          <w:bCs/>
          <w:sz w:val="20"/>
          <w:szCs w:val="20"/>
        </w:rPr>
        <w:t>S8max_d</w:t>
      </w:r>
      <w:r>
        <w:rPr>
          <w:rFonts w:eastAsia="Arimo" w:cs="Calibri" w:cstheme="minorHAnsi"/>
          <w:sz w:val="20"/>
          <w:szCs w:val="20"/>
        </w:rPr>
        <w:t xml:space="preserve"> – maksimum dobowe ze stężeń średnich ośmiogodzinnych kroczących obliczanych ze stężeń średnich jednogodzinnych; każdą wartość średnią ośmiogodzinną przypisuje się dobie, w której kończy się ośmiogodzinny okres uśredniania,</w:t>
      </w:r>
    </w:p>
    <w:p>
      <w:pPr>
        <w:pStyle w:val="Normal"/>
        <w:spacing w:lineRule="auto" w:line="240" w:before="0" w:after="0"/>
        <w:jc w:val="both"/>
        <w:rPr>
          <w:rFonts w:eastAsia="Arimo" w:cs="Calibri" w:cstheme="minorHAnsi"/>
          <w:sz w:val="20"/>
          <w:szCs w:val="20"/>
        </w:rPr>
      </w:pPr>
      <w:r>
        <w:rPr>
          <w:rFonts w:eastAsia="Arimo" w:cs="Calibri" w:cstheme="minorHAnsi"/>
          <w:b/>
          <w:bCs/>
          <w:sz w:val="20"/>
          <w:szCs w:val="20"/>
        </w:rPr>
        <w:t>ołów, arsen, kadm, nikiel, benzo(α)pirn</w:t>
      </w:r>
      <w:r>
        <w:rPr>
          <w:rFonts w:eastAsia="Arimo" w:cs="Calibri" w:cstheme="minorHAnsi"/>
          <w:sz w:val="20"/>
          <w:szCs w:val="20"/>
        </w:rPr>
        <w:t xml:space="preserve"> – oznaczane w pyle zawieszonym PM10</w:t>
      </w:r>
    </w:p>
    <w:p>
      <w:pPr>
        <w:pStyle w:val="Normal"/>
        <w:spacing w:lineRule="auto" w:line="240" w:before="0" w:after="0"/>
        <w:jc w:val="both"/>
        <w:rPr>
          <w:rFonts w:cs="Calibri" w:cstheme="minorHAnsi"/>
          <w:i/>
          <w:i/>
          <w:iCs/>
          <w:sz w:val="20"/>
          <w:szCs w:val="20"/>
        </w:rPr>
      </w:pPr>
      <w:r>
        <w:rPr>
          <w:rFonts w:eastAsia="Arimo" w:cs="Calibri" w:cstheme="minorHAnsi"/>
          <w:sz w:val="20"/>
          <w:szCs w:val="20"/>
        </w:rPr>
        <w:t>* - kryteria klasyfikacji stref dla PM2,5 - faza I – obowiązująca w Polsce do dnia 31 grudnia 2019 r</w:t>
      </w:r>
    </w:p>
    <w:p>
      <w:pPr>
        <w:pStyle w:val="Normal"/>
        <w:spacing w:lineRule="auto" w:line="240" w:before="0" w:after="0"/>
        <w:rPr>
          <w:rFonts w:cs="Calibri" w:cstheme="minorHAnsi"/>
        </w:rPr>
      </w:pPr>
      <w:r>
        <w:rPr>
          <w:rFonts w:cs="Calibri" w:cstheme="minorHAnsi"/>
        </w:rPr>
      </w:r>
    </w:p>
    <w:p>
      <w:pPr>
        <w:pStyle w:val="Normal"/>
        <w:spacing w:lineRule="auto" w:line="240" w:before="0" w:after="0"/>
        <w:jc w:val="center"/>
        <w:rPr>
          <w:rFonts w:eastAsia="Arimo" w:cs="Calibri" w:cstheme="minorHAnsi"/>
          <w:b/>
          <w:b/>
          <w:bCs/>
          <w:i/>
          <w:i/>
          <w:iCs/>
          <w:sz w:val="20"/>
          <w:szCs w:val="20"/>
        </w:rPr>
      </w:pPr>
      <w:bookmarkStart w:id="42" w:name="_Toc118887753"/>
      <w:bookmarkStart w:id="43" w:name="_Toc114224868"/>
      <w:bookmarkStart w:id="44" w:name="_Toc113967490"/>
      <w:r>
        <w:rPr>
          <w:rFonts w:cs="Calibri" w:cstheme="minorHAnsi"/>
          <w:sz w:val="20"/>
          <w:szCs w:val="20"/>
        </w:rPr>
        <w:t xml:space="preserve">Tabela </w:t>
      </w:r>
      <w:r>
        <w:rPr>
          <w:rFonts w:cs="Calibri" w:cstheme="minorHAnsi"/>
          <w:i/>
          <w:iCs/>
          <w:sz w:val="20"/>
          <w:szCs w:val="20"/>
        </w:rPr>
        <w:fldChar w:fldCharType="begin"/>
      </w:r>
      <w:r>
        <w:rPr>
          <w:sz w:val="20"/>
          <w:i/>
          <w:szCs w:val="20"/>
          <w:iCs/>
          <w:rFonts w:cs="Calibri"/>
        </w:rPr>
        <w:instrText xml:space="preserve"> SEQ Tabela \* ARABIC </w:instrText>
      </w:r>
      <w:r>
        <w:rPr>
          <w:sz w:val="20"/>
          <w:i/>
          <w:szCs w:val="20"/>
          <w:iCs/>
          <w:rFonts w:cs="Calibri"/>
        </w:rPr>
        <w:fldChar w:fldCharType="separate"/>
      </w:r>
      <w:r>
        <w:rPr>
          <w:sz w:val="20"/>
          <w:i/>
          <w:szCs w:val="20"/>
          <w:iCs/>
          <w:rFonts w:cs="Calibri"/>
        </w:rPr>
        <w:t>4</w:t>
      </w:r>
      <w:r>
        <w:rPr>
          <w:sz w:val="20"/>
          <w:i/>
          <w:szCs w:val="20"/>
          <w:iCs/>
          <w:rFonts w:cs="Calibri"/>
        </w:rPr>
        <w:fldChar w:fldCharType="end"/>
      </w:r>
      <w:r>
        <w:rPr>
          <w:rFonts w:cs="Calibri" w:cstheme="minorHAnsi"/>
          <w:sz w:val="20"/>
          <w:szCs w:val="20"/>
        </w:rPr>
        <w:t xml:space="preserve"> </w:t>
      </w:r>
      <w:r>
        <w:rPr>
          <w:rFonts w:eastAsia="Arimo" w:cs="Calibri" w:cstheme="minorHAnsi"/>
          <w:sz w:val="20"/>
          <w:szCs w:val="20"/>
        </w:rPr>
        <w:t>Kryteria klasyfikacji stref ze względu na ochronę roślin w zakresie dwutlenku siarki SO2, tlenków azotu NOx i ozonu O3</w:t>
      </w:r>
      <w:bookmarkEnd w:id="42"/>
      <w:bookmarkEnd w:id="43"/>
      <w:bookmarkEnd w:id="44"/>
    </w:p>
    <w:tbl>
      <w:tblPr>
        <w:tblStyle w:val="TableNormal"/>
        <w:tblW w:w="10491" w:type="dxa"/>
        <w:jc w:val="left"/>
        <w:tblInd w:w="-431" w:type="dxa"/>
        <w:tblLayout w:type="fixed"/>
        <w:tblCellMar>
          <w:top w:w="0" w:type="dxa"/>
          <w:left w:w="5" w:type="dxa"/>
          <w:bottom w:w="0" w:type="dxa"/>
          <w:right w:w="5" w:type="dxa"/>
        </w:tblCellMar>
        <w:tblLook w:firstRow="1" w:noVBand="0" w:lastRow="1" w:firstColumn="1" w:lastColumn="1" w:noHBand="0" w:val="01e0"/>
      </w:tblPr>
      <w:tblGrid>
        <w:gridCol w:w="1844"/>
        <w:gridCol w:w="1700"/>
        <w:gridCol w:w="1985"/>
        <w:gridCol w:w="2410"/>
        <w:gridCol w:w="2552"/>
      </w:tblGrid>
      <w:tr>
        <w:trPr>
          <w:trHeight w:val="605" w:hRule="atLeast"/>
        </w:trPr>
        <w:tc>
          <w:tcPr>
            <w:tcW w:w="1844" w:type="dxa"/>
            <w:tcBorders>
              <w:top w:val="single" w:sz="4" w:space="0" w:color="000000"/>
              <w:left w:val="single" w:sz="4" w:space="0" w:color="000000"/>
              <w:bottom w:val="single" w:sz="6" w:space="0" w:color="000000"/>
              <w:right w:val="single" w:sz="4" w:space="0" w:color="000000"/>
            </w:tcBorders>
            <w:shd w:color="auto" w:fill="00AFEF" w:val="clear"/>
            <w:vAlign w:val="center"/>
          </w:tcPr>
          <w:p>
            <w:pPr>
              <w:pStyle w:val="Normal"/>
              <w:widowControl w:val="false"/>
              <w:spacing w:lineRule="auto" w:line="240" w:before="116" w:after="0"/>
              <w:ind w:left="594" w:right="124" w:hanging="456"/>
              <w:jc w:val="center"/>
              <w:rPr>
                <w:rFonts w:eastAsia="Times New Roman" w:cs="Calibri" w:cstheme="minorHAnsi"/>
                <w:b/>
                <w:b/>
              </w:rPr>
            </w:pPr>
            <w:r>
              <w:rPr>
                <w:rFonts w:eastAsia="Times New Roman" w:cs="Calibri" w:cstheme="minorHAnsi"/>
                <w:b/>
                <w:spacing w:val="-1"/>
                <w:kern w:val="0"/>
                <w:sz w:val="22"/>
                <w:szCs w:val="22"/>
                <w:lang w:eastAsia="en-US" w:bidi="ar-SA"/>
              </w:rPr>
              <w:t>Zanieczyszcze</w:t>
            </w:r>
            <w:r>
              <w:rPr>
                <w:rFonts w:eastAsia="Times New Roman" w:cs="Calibri" w:cstheme="minorHAnsi"/>
                <w:b/>
                <w:kern w:val="0"/>
                <w:sz w:val="22"/>
                <w:szCs w:val="22"/>
                <w:lang w:eastAsia="en-US" w:bidi="ar-SA"/>
              </w:rPr>
              <w:t>nie</w:t>
            </w:r>
          </w:p>
        </w:tc>
        <w:tc>
          <w:tcPr>
            <w:tcW w:w="1700" w:type="dxa"/>
            <w:tcBorders>
              <w:top w:val="single" w:sz="4" w:space="0" w:color="000000"/>
              <w:left w:val="single" w:sz="4" w:space="0" w:color="000000"/>
              <w:bottom w:val="single" w:sz="6" w:space="0" w:color="000000"/>
              <w:right w:val="single" w:sz="4" w:space="0" w:color="000000"/>
            </w:tcBorders>
            <w:shd w:color="auto" w:fill="00AFEF" w:val="clear"/>
            <w:vAlign w:val="center"/>
          </w:tcPr>
          <w:p>
            <w:pPr>
              <w:pStyle w:val="Normal"/>
              <w:widowControl w:val="false"/>
              <w:spacing w:lineRule="auto" w:line="240" w:before="97" w:after="0"/>
              <w:ind w:left="357" w:right="139" w:hanging="195"/>
              <w:jc w:val="center"/>
              <w:rPr>
                <w:rFonts w:eastAsia="Times New Roman" w:cs="Calibri" w:cstheme="minorHAnsi"/>
                <w:b/>
                <w:b/>
              </w:rPr>
            </w:pPr>
            <w:r>
              <w:rPr>
                <w:rFonts w:eastAsia="Times New Roman" w:cs="Calibri" w:cstheme="minorHAnsi"/>
                <w:b/>
                <w:spacing w:val="-1"/>
                <w:kern w:val="0"/>
                <w:sz w:val="22"/>
                <w:szCs w:val="22"/>
                <w:lang w:eastAsia="en-US" w:bidi="ar-SA"/>
              </w:rPr>
              <w:t>Normowany</w:t>
            </w:r>
            <w:r>
              <w:rPr>
                <w:rFonts w:eastAsia="Times New Roman" w:cs="Calibri" w:cstheme="minorHAnsi"/>
                <w:b/>
                <w:spacing w:val="-42"/>
                <w:kern w:val="0"/>
                <w:sz w:val="22"/>
                <w:szCs w:val="22"/>
                <w:lang w:eastAsia="en-US" w:bidi="ar-SA"/>
              </w:rPr>
              <w:t xml:space="preserve"> </w:t>
            </w:r>
            <w:r>
              <w:rPr>
                <w:rFonts w:eastAsia="Times New Roman" w:cs="Calibri" w:cstheme="minorHAnsi"/>
                <w:b/>
                <w:kern w:val="0"/>
                <w:sz w:val="22"/>
                <w:szCs w:val="22"/>
                <w:lang w:eastAsia="en-US" w:bidi="ar-SA"/>
              </w:rPr>
              <w:t>poziom</w:t>
            </w:r>
          </w:p>
        </w:tc>
        <w:tc>
          <w:tcPr>
            <w:tcW w:w="1985" w:type="dxa"/>
            <w:tcBorders>
              <w:top w:val="single" w:sz="4" w:space="0" w:color="000000"/>
              <w:left w:val="single" w:sz="4" w:space="0" w:color="000000"/>
              <w:bottom w:val="single" w:sz="6" w:space="0" w:color="000000"/>
              <w:right w:val="single" w:sz="4" w:space="0" w:color="000000"/>
            </w:tcBorders>
            <w:shd w:color="auto" w:fill="00AFEF" w:val="clear"/>
            <w:vAlign w:val="center"/>
          </w:tcPr>
          <w:p>
            <w:pPr>
              <w:pStyle w:val="Normal"/>
              <w:widowControl w:val="false"/>
              <w:spacing w:lineRule="auto" w:line="240" w:before="5"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0" w:after="0"/>
              <w:ind w:left="329" w:hanging="0"/>
              <w:jc w:val="center"/>
              <w:rPr>
                <w:rFonts w:eastAsia="Times New Roman" w:cs="Calibri" w:cstheme="minorHAnsi"/>
                <w:b/>
                <w:b/>
              </w:rPr>
            </w:pPr>
            <w:r>
              <w:rPr>
                <w:rFonts w:eastAsia="Times New Roman" w:cs="Calibri" w:cstheme="minorHAnsi"/>
                <w:b/>
                <w:kern w:val="0"/>
                <w:sz w:val="22"/>
                <w:szCs w:val="22"/>
                <w:lang w:eastAsia="en-US" w:bidi="ar-SA"/>
              </w:rPr>
              <w:t>Czas</w:t>
            </w:r>
            <w:r>
              <w:rPr>
                <w:rFonts w:eastAsia="Times New Roman" w:cs="Calibri" w:cstheme="minorHAnsi"/>
                <w:b/>
                <w:spacing w:val="-3"/>
                <w:kern w:val="0"/>
                <w:sz w:val="22"/>
                <w:szCs w:val="22"/>
                <w:lang w:eastAsia="en-US" w:bidi="ar-SA"/>
              </w:rPr>
              <w:t xml:space="preserve"> </w:t>
            </w:r>
            <w:r>
              <w:rPr>
                <w:rFonts w:eastAsia="Times New Roman" w:cs="Calibri" w:cstheme="minorHAnsi"/>
                <w:b/>
                <w:kern w:val="0"/>
                <w:sz w:val="22"/>
                <w:szCs w:val="22"/>
                <w:lang w:eastAsia="en-US" w:bidi="ar-SA"/>
              </w:rPr>
              <w:t>uśredniania</w:t>
            </w:r>
          </w:p>
        </w:tc>
        <w:tc>
          <w:tcPr>
            <w:tcW w:w="2410" w:type="dxa"/>
            <w:tcBorders>
              <w:top w:val="single" w:sz="4" w:space="0" w:color="000000"/>
              <w:left w:val="single" w:sz="4" w:space="0" w:color="000000"/>
              <w:bottom w:val="single" w:sz="6" w:space="0" w:color="000000"/>
              <w:right w:val="single" w:sz="4" w:space="0" w:color="000000"/>
            </w:tcBorders>
            <w:shd w:color="auto" w:fill="00AFEF" w:val="clear"/>
            <w:vAlign w:val="center"/>
          </w:tcPr>
          <w:p>
            <w:pPr>
              <w:pStyle w:val="Normal"/>
              <w:widowControl w:val="false"/>
              <w:spacing w:lineRule="auto" w:line="240" w:before="5"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0" w:after="0"/>
              <w:ind w:left="144" w:hanging="0"/>
              <w:jc w:val="center"/>
              <w:rPr>
                <w:rFonts w:eastAsia="Times New Roman" w:cs="Calibri" w:cstheme="minorHAnsi"/>
                <w:b/>
                <w:b/>
              </w:rPr>
            </w:pPr>
            <w:r>
              <w:rPr>
                <w:rFonts w:eastAsia="Times New Roman" w:cs="Calibri" w:cstheme="minorHAnsi"/>
                <w:b/>
                <w:kern w:val="0"/>
                <w:sz w:val="22"/>
                <w:szCs w:val="22"/>
                <w:lang w:eastAsia="en-US" w:bidi="ar-SA"/>
              </w:rPr>
              <w:t>Klasa A</w:t>
            </w:r>
          </w:p>
        </w:tc>
        <w:tc>
          <w:tcPr>
            <w:tcW w:w="2552" w:type="dxa"/>
            <w:tcBorders>
              <w:top w:val="single" w:sz="4" w:space="0" w:color="000000"/>
              <w:left w:val="single" w:sz="4" w:space="0" w:color="000000"/>
              <w:bottom w:val="single" w:sz="6" w:space="0" w:color="000000"/>
              <w:right w:val="single" w:sz="4" w:space="0" w:color="000000"/>
            </w:tcBorders>
            <w:shd w:color="auto" w:fill="00AFEF" w:val="clear"/>
            <w:vAlign w:val="center"/>
          </w:tcPr>
          <w:p>
            <w:pPr>
              <w:pStyle w:val="Normal"/>
              <w:widowControl w:val="false"/>
              <w:spacing w:lineRule="auto" w:line="240" w:before="5"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0" w:after="0"/>
              <w:ind w:left="-144" w:hanging="0"/>
              <w:jc w:val="center"/>
              <w:rPr>
                <w:rFonts w:eastAsia="Times New Roman" w:cs="Calibri" w:cstheme="minorHAnsi"/>
                <w:b/>
                <w:b/>
              </w:rPr>
            </w:pPr>
            <w:r>
              <w:rPr>
                <w:rFonts w:eastAsia="Times New Roman" w:cs="Calibri" w:cstheme="minorHAnsi"/>
                <w:b/>
                <w:kern w:val="0"/>
                <w:sz w:val="22"/>
                <w:szCs w:val="22"/>
                <w:lang w:eastAsia="en-US" w:bidi="ar-SA"/>
              </w:rPr>
              <w:t>Klasa</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C</w:t>
            </w:r>
          </w:p>
        </w:tc>
      </w:tr>
      <w:tr>
        <w:trPr>
          <w:trHeight w:val="366" w:hRule="atLeast"/>
        </w:trPr>
        <w:tc>
          <w:tcPr>
            <w:tcW w:w="1844"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9" w:after="0"/>
              <w:ind w:left="81" w:hanging="0"/>
              <w:jc w:val="center"/>
              <w:rPr>
                <w:rFonts w:eastAsia="Times New Roman" w:cs="Calibri" w:cstheme="minorHAnsi"/>
              </w:rPr>
            </w:pPr>
            <w:r>
              <w:rPr>
                <w:rFonts w:eastAsia="Times New Roman" w:cs="Calibri" w:cstheme="minorHAnsi"/>
                <w:kern w:val="0"/>
                <w:sz w:val="22"/>
                <w:szCs w:val="22"/>
                <w:lang w:eastAsia="en-US" w:bidi="ar-SA"/>
              </w:rPr>
              <w:t>dwutlenek</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siarki</w:t>
            </w:r>
          </w:p>
        </w:tc>
        <w:tc>
          <w:tcPr>
            <w:tcW w:w="170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9" w:after="0"/>
              <w:ind w:left="81"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985"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9" w:after="0"/>
              <w:ind w:left="79" w:hanging="0"/>
              <w:jc w:val="center"/>
              <w:rPr>
                <w:rFonts w:eastAsia="Times New Roman" w:cs="Calibri" w:cstheme="minorHAnsi"/>
              </w:rPr>
            </w:pPr>
            <w:r>
              <w:rPr>
                <w:rFonts w:eastAsia="Times New Roman" w:cs="Calibri" w:cstheme="minorHAnsi"/>
                <w:kern w:val="0"/>
                <w:sz w:val="22"/>
                <w:szCs w:val="22"/>
                <w:lang w:eastAsia="en-US" w:bidi="ar-SA"/>
              </w:rPr>
              <w:t>rok</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kalendarzowy</w:t>
            </w:r>
          </w:p>
        </w:tc>
        <w:tc>
          <w:tcPr>
            <w:tcW w:w="241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9" w:after="0"/>
              <w:ind w:left="80"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20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552"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9" w:after="0"/>
              <w:ind w:left="80"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20 µg/m</w:t>
            </w:r>
            <w:r>
              <w:rPr>
                <w:rFonts w:eastAsia="Times New Roman" w:cs="Calibri" w:cstheme="minorHAnsi"/>
                <w:kern w:val="0"/>
                <w:sz w:val="22"/>
                <w:szCs w:val="22"/>
                <w:vertAlign w:val="superscript"/>
                <w:lang w:eastAsia="en-US" w:bidi="ar-SA"/>
              </w:rPr>
              <w:t>3</w:t>
            </w:r>
          </w:p>
        </w:tc>
      </w:tr>
      <w:tr>
        <w:trPr>
          <w:trHeight w:val="609" w:hRule="atLeast"/>
        </w:trPr>
        <w:tc>
          <w:tcPr>
            <w:tcW w:w="1844"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1" w:hanging="0"/>
              <w:jc w:val="center"/>
              <w:rPr>
                <w:rFonts w:eastAsia="Times New Roman" w:cs="Calibri" w:cstheme="minorHAnsi"/>
              </w:rPr>
            </w:pPr>
            <w:r>
              <w:rPr>
                <w:rFonts w:eastAsia="Times New Roman" w:cs="Calibri" w:cstheme="minorHAnsi"/>
                <w:kern w:val="0"/>
                <w:sz w:val="22"/>
                <w:szCs w:val="22"/>
                <w:lang w:eastAsia="en-US" w:bidi="ar-SA"/>
              </w:rPr>
              <w:t>dwutlenek</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siarki</w:t>
            </w:r>
          </w:p>
        </w:tc>
        <w:tc>
          <w:tcPr>
            <w:tcW w:w="170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115" w:after="0"/>
              <w:ind w:left="81"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985"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115" w:after="0"/>
              <w:ind w:left="79" w:right="221" w:hanging="0"/>
              <w:jc w:val="center"/>
              <w:rPr>
                <w:rFonts w:eastAsia="Times New Roman" w:cs="Calibri" w:cstheme="minorHAnsi"/>
              </w:rPr>
            </w:pPr>
            <w:r>
              <w:rPr>
                <w:rFonts w:eastAsia="Times New Roman" w:cs="Calibri" w:cstheme="minorHAnsi"/>
                <w:kern w:val="0"/>
                <w:sz w:val="22"/>
                <w:szCs w:val="22"/>
                <w:lang w:eastAsia="en-US" w:bidi="ar-SA"/>
              </w:rPr>
              <w:t>pora zimowa (okres od</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01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X do</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31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III)</w:t>
            </w:r>
          </w:p>
        </w:tc>
        <w:tc>
          <w:tcPr>
            <w:tcW w:w="241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0" w:hanging="0"/>
              <w:jc w:val="center"/>
              <w:rPr>
                <w:rFonts w:eastAsia="Times New Roman" w:cs="Calibri" w:cstheme="minorHAnsi"/>
              </w:rPr>
            </w:pPr>
            <w:r>
              <w:rPr>
                <w:rFonts w:eastAsia="Times New Roman" w:cs="Calibri" w:cstheme="minorHAnsi"/>
                <w:kern w:val="0"/>
                <w:sz w:val="22"/>
                <w:szCs w:val="22"/>
                <w:lang w:eastAsia="en-US" w:bidi="ar-SA"/>
              </w:rPr>
              <w:t>Sw</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20 µg/m</w:t>
            </w:r>
            <w:r>
              <w:rPr>
                <w:rFonts w:eastAsia="Times New Roman" w:cs="Calibri" w:cstheme="minorHAnsi"/>
                <w:kern w:val="0"/>
                <w:sz w:val="22"/>
                <w:szCs w:val="22"/>
                <w:vertAlign w:val="superscript"/>
                <w:lang w:eastAsia="en-US" w:bidi="ar-SA"/>
              </w:rPr>
              <w:t>3</w:t>
            </w:r>
          </w:p>
        </w:tc>
        <w:tc>
          <w:tcPr>
            <w:tcW w:w="2552"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0" w:hanging="0"/>
              <w:jc w:val="center"/>
              <w:rPr>
                <w:rFonts w:eastAsia="Times New Roman" w:cs="Calibri" w:cstheme="minorHAnsi"/>
              </w:rPr>
            </w:pPr>
            <w:r>
              <w:rPr>
                <w:rFonts w:eastAsia="Times New Roman" w:cs="Calibri" w:cstheme="minorHAnsi"/>
                <w:kern w:val="0"/>
                <w:sz w:val="22"/>
                <w:szCs w:val="22"/>
                <w:lang w:eastAsia="en-US" w:bidi="ar-SA"/>
              </w:rPr>
              <w:t>Sw</w:t>
            </w:r>
            <w:r>
              <w:rPr>
                <w:rFonts w:eastAsia="Times New Roman" w:cs="Calibri" w:cstheme="minorHAnsi"/>
                <w:spacing w:val="-5"/>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20 µg/m</w:t>
            </w:r>
            <w:r>
              <w:rPr>
                <w:rFonts w:eastAsia="Times New Roman" w:cs="Calibri" w:cstheme="minorHAnsi"/>
                <w:kern w:val="0"/>
                <w:sz w:val="22"/>
                <w:szCs w:val="22"/>
                <w:vertAlign w:val="superscript"/>
                <w:lang w:eastAsia="en-US" w:bidi="ar-SA"/>
              </w:rPr>
              <w:t>3</w:t>
            </w:r>
          </w:p>
        </w:tc>
      </w:tr>
      <w:tr>
        <w:trPr>
          <w:trHeight w:val="361" w:hRule="atLeast"/>
        </w:trPr>
        <w:tc>
          <w:tcPr>
            <w:tcW w:w="1844"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1" w:hanging="0"/>
              <w:jc w:val="center"/>
              <w:rPr>
                <w:rFonts w:eastAsia="Times New Roman" w:cs="Calibri" w:cstheme="minorHAnsi"/>
              </w:rPr>
            </w:pPr>
            <w:r>
              <w:rPr>
                <w:rFonts w:eastAsia="Times New Roman" w:cs="Calibri" w:cstheme="minorHAnsi"/>
                <w:kern w:val="0"/>
                <w:sz w:val="22"/>
                <w:szCs w:val="22"/>
                <w:lang w:eastAsia="en-US" w:bidi="ar-SA"/>
              </w:rPr>
              <w:t>tlenki</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azotu</w:t>
            </w:r>
          </w:p>
        </w:tc>
        <w:tc>
          <w:tcPr>
            <w:tcW w:w="170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1" w:hanging="0"/>
              <w:jc w:val="center"/>
              <w:rPr>
                <w:rFonts w:eastAsia="Times New Roman" w:cs="Calibri" w:cstheme="minorHAnsi"/>
              </w:rPr>
            </w:pPr>
            <w:r>
              <w:rPr>
                <w:rFonts w:eastAsia="Times New Roman" w:cs="Calibri" w:cstheme="minorHAnsi"/>
                <w:kern w:val="0"/>
                <w:sz w:val="22"/>
                <w:szCs w:val="22"/>
                <w:lang w:eastAsia="en-US" w:bidi="ar-SA"/>
              </w:rPr>
              <w:t>dopuszczalny</w:t>
            </w:r>
          </w:p>
        </w:tc>
        <w:tc>
          <w:tcPr>
            <w:tcW w:w="1985"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79" w:hanging="0"/>
              <w:jc w:val="center"/>
              <w:rPr>
                <w:rFonts w:eastAsia="Times New Roman" w:cs="Calibri" w:cstheme="minorHAnsi"/>
              </w:rPr>
            </w:pPr>
            <w:r>
              <w:rPr>
                <w:rFonts w:eastAsia="Times New Roman" w:cs="Calibri" w:cstheme="minorHAnsi"/>
                <w:kern w:val="0"/>
                <w:sz w:val="22"/>
                <w:szCs w:val="22"/>
                <w:lang w:eastAsia="en-US" w:bidi="ar-SA"/>
              </w:rPr>
              <w:t>rok</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kalendarzowy</w:t>
            </w:r>
          </w:p>
        </w:tc>
        <w:tc>
          <w:tcPr>
            <w:tcW w:w="241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0"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&lt;=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30</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µg/m</w:t>
            </w:r>
            <w:r>
              <w:rPr>
                <w:rFonts w:eastAsia="Times New Roman" w:cs="Calibri" w:cstheme="minorHAnsi"/>
                <w:kern w:val="0"/>
                <w:sz w:val="22"/>
                <w:szCs w:val="22"/>
                <w:vertAlign w:val="superscript"/>
                <w:lang w:eastAsia="en-US" w:bidi="ar-SA"/>
              </w:rPr>
              <w:t>3</w:t>
            </w:r>
          </w:p>
        </w:tc>
        <w:tc>
          <w:tcPr>
            <w:tcW w:w="2552"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4" w:after="0"/>
              <w:ind w:left="80" w:hanging="0"/>
              <w:jc w:val="center"/>
              <w:rPr>
                <w:rFonts w:eastAsia="Times New Roman" w:cs="Calibri" w:cstheme="minorHAnsi"/>
              </w:rPr>
            </w:pPr>
            <w:r>
              <w:rPr>
                <w:rFonts w:eastAsia="Times New Roman" w:cs="Calibri" w:cstheme="minorHAnsi"/>
                <w:kern w:val="0"/>
                <w:sz w:val="22"/>
                <w:szCs w:val="22"/>
                <w:lang w:eastAsia="en-US" w:bidi="ar-SA"/>
              </w:rPr>
              <w:t>Sa</w:t>
            </w:r>
            <w:r>
              <w:rPr>
                <w:rFonts w:eastAsia="Times New Roman" w:cs="Calibri" w:cstheme="minorHAnsi"/>
                <w:spacing w:val="-3"/>
                <w:kern w:val="0"/>
                <w:sz w:val="22"/>
                <w:szCs w:val="22"/>
                <w:lang w:eastAsia="en-US" w:bidi="ar-SA"/>
              </w:rPr>
              <w:t xml:space="preserve"> </w:t>
            </w:r>
            <w:r>
              <w:rPr>
                <w:rFonts w:eastAsia="Times New Roman" w:cs="Calibri" w:cstheme="minorHAnsi"/>
                <w:kern w:val="0"/>
                <w:sz w:val="22"/>
                <w:szCs w:val="22"/>
                <w:lang w:eastAsia="en-US" w:bidi="ar-SA"/>
              </w:rPr>
              <w:t>&gt;</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30 µg/m</w:t>
            </w:r>
            <w:r>
              <w:rPr>
                <w:rFonts w:eastAsia="Times New Roman" w:cs="Calibri" w:cstheme="minorHAnsi"/>
                <w:kern w:val="0"/>
                <w:sz w:val="22"/>
                <w:szCs w:val="22"/>
                <w:vertAlign w:val="superscript"/>
                <w:lang w:eastAsia="en-US" w:bidi="ar-SA"/>
              </w:rPr>
              <w:t>3</w:t>
            </w:r>
          </w:p>
        </w:tc>
      </w:tr>
      <w:tr>
        <w:trPr>
          <w:trHeight w:val="777" w:hRule="atLeast"/>
        </w:trPr>
        <w:tc>
          <w:tcPr>
            <w:tcW w:w="1844"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0" w:after="0"/>
              <w:ind w:left="81" w:hanging="0"/>
              <w:jc w:val="center"/>
              <w:rPr>
                <w:rFonts w:eastAsia="Times New Roman" w:cs="Calibri" w:cstheme="minorHAnsi"/>
              </w:rPr>
            </w:pPr>
            <w:r>
              <w:rPr>
                <w:rFonts w:eastAsia="Times New Roman" w:cs="Calibri" w:cstheme="minorHAnsi"/>
                <w:kern w:val="0"/>
                <w:sz w:val="22"/>
                <w:szCs w:val="22"/>
                <w:lang w:eastAsia="en-US" w:bidi="ar-SA"/>
              </w:rPr>
              <w:t>ozon</w:t>
            </w:r>
          </w:p>
        </w:tc>
        <w:tc>
          <w:tcPr>
            <w:tcW w:w="170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auto" w:line="240" w:before="0" w:after="0"/>
              <w:ind w:left="81" w:hanging="0"/>
              <w:jc w:val="center"/>
              <w:rPr>
                <w:rFonts w:eastAsia="Times New Roman" w:cs="Calibri" w:cstheme="minorHAnsi"/>
              </w:rPr>
            </w:pPr>
            <w:r>
              <w:rPr>
                <w:rFonts w:eastAsia="Times New Roman" w:cs="Calibri" w:cstheme="minorHAnsi"/>
                <w:kern w:val="0"/>
                <w:sz w:val="22"/>
                <w:szCs w:val="22"/>
                <w:lang w:eastAsia="en-US" w:bidi="ar-SA"/>
              </w:rPr>
              <w:t>docelowy</w:t>
            </w:r>
          </w:p>
        </w:tc>
        <w:tc>
          <w:tcPr>
            <w:tcW w:w="1985"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7" w:after="0"/>
              <w:jc w:val="center"/>
              <w:rPr>
                <w:rFonts w:eastAsia="Times New Roman" w:cs="Calibri" w:cstheme="minorHAnsi"/>
              </w:rPr>
            </w:pPr>
            <w:r>
              <w:rPr>
                <w:rFonts w:eastAsia="Times New Roman" w:cs="Calibri" w:cstheme="minorHAnsi"/>
                <w:kern w:val="0"/>
                <w:sz w:val="22"/>
                <w:szCs w:val="22"/>
                <w:lang w:eastAsia="en-US" w:bidi="ar-SA"/>
              </w:rPr>
            </w:r>
          </w:p>
          <w:p>
            <w:pPr>
              <w:pStyle w:val="Normal"/>
              <w:widowControl w:val="false"/>
              <w:spacing w:lineRule="exact" w:line="207" w:before="0" w:after="0"/>
              <w:ind w:left="79" w:hanging="0"/>
              <w:jc w:val="center"/>
              <w:rPr>
                <w:rFonts w:eastAsia="Times New Roman" w:cs="Calibri" w:cstheme="minorHAnsi"/>
              </w:rPr>
            </w:pPr>
            <w:r>
              <w:rPr>
                <w:rFonts w:eastAsia="Times New Roman" w:cs="Calibri" w:cstheme="minorHAnsi"/>
                <w:kern w:val="0"/>
                <w:sz w:val="22"/>
                <w:szCs w:val="22"/>
                <w:lang w:eastAsia="en-US" w:bidi="ar-SA"/>
              </w:rPr>
              <w:t>okres</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wegetacyjny</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V</w:t>
            </w:r>
          </w:p>
          <w:p>
            <w:pPr>
              <w:pStyle w:val="Normal"/>
              <w:widowControl w:val="false"/>
              <w:spacing w:lineRule="exact" w:line="207" w:before="0" w:after="0"/>
              <w:ind w:left="79" w:hanging="0"/>
              <w:jc w:val="center"/>
              <w:rPr>
                <w:rFonts w:eastAsia="Times New Roman" w:cs="Calibri" w:cstheme="minorHAnsi"/>
              </w:rPr>
            </w:pPr>
            <w:r>
              <w:rPr>
                <w:rFonts w:eastAsia="Times New Roman" w:cs="Calibri" w:cstheme="minorHAnsi"/>
                <w:kern w:val="0"/>
                <w:sz w:val="22"/>
                <w:szCs w:val="22"/>
                <w:lang w:eastAsia="en-US" w:bidi="ar-SA"/>
              </w:rPr>
              <w:t xml:space="preserve">– </w:t>
            </w:r>
            <w:r>
              <w:rPr>
                <w:rFonts w:eastAsia="Times New Roman" w:cs="Calibri" w:cstheme="minorHAnsi"/>
                <w:kern w:val="0"/>
                <w:sz w:val="22"/>
                <w:szCs w:val="22"/>
                <w:lang w:eastAsia="en-US" w:bidi="ar-SA"/>
              </w:rPr>
              <w:t>31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VII)</w:t>
            </w:r>
          </w:p>
        </w:tc>
        <w:tc>
          <w:tcPr>
            <w:tcW w:w="241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exact" w:line="213" w:before="74" w:after="0"/>
              <w:ind w:left="80" w:hanging="0"/>
              <w:jc w:val="center"/>
              <w:rPr>
                <w:rFonts w:eastAsia="Times New Roman" w:cs="Calibri" w:cstheme="minorHAnsi"/>
              </w:rPr>
            </w:pPr>
            <w:r>
              <w:rPr>
                <w:rFonts w:eastAsia="Times New Roman" w:cs="Calibri" w:cstheme="minorHAnsi"/>
                <w:kern w:val="0"/>
                <w:position w:val="1"/>
                <w:sz w:val="22"/>
                <w:szCs w:val="22"/>
                <w:lang w:eastAsia="en-US" w:bidi="ar-SA"/>
              </w:rPr>
              <w:t>AOT40</w:t>
            </w:r>
            <w:r>
              <w:rPr>
                <w:rFonts w:eastAsia="Times New Roman" w:cs="Calibri" w:cstheme="minorHAnsi"/>
                <w:kern w:val="0"/>
                <w:sz w:val="22"/>
                <w:szCs w:val="22"/>
                <w:lang w:eastAsia="en-US" w:bidi="ar-SA"/>
              </w:rPr>
              <w:t>5L</w:t>
            </w:r>
            <w:r>
              <w:rPr>
                <w:rFonts w:eastAsia="Times New Roman" w:cs="Calibri" w:cstheme="minorHAnsi"/>
                <w:kern w:val="0"/>
                <w:position w:val="1"/>
                <w:sz w:val="22"/>
                <w:szCs w:val="22"/>
                <w:lang w:eastAsia="en-US" w:bidi="ar-SA"/>
              </w:rPr>
              <w:t>&lt;=</w:t>
            </w:r>
            <w:r>
              <w:rPr>
                <w:rFonts w:eastAsia="Times New Roman" w:cs="Calibri" w:cstheme="minorHAnsi"/>
                <w:spacing w:val="-6"/>
                <w:kern w:val="0"/>
                <w:position w:val="1"/>
                <w:sz w:val="22"/>
                <w:szCs w:val="22"/>
                <w:lang w:eastAsia="en-US" w:bidi="ar-SA"/>
              </w:rPr>
              <w:t xml:space="preserve"> </w:t>
            </w:r>
            <w:r>
              <w:rPr>
                <w:rFonts w:eastAsia="Times New Roman" w:cs="Calibri" w:cstheme="minorHAnsi"/>
                <w:kern w:val="0"/>
                <w:position w:val="1"/>
                <w:sz w:val="22"/>
                <w:szCs w:val="22"/>
                <w:lang w:eastAsia="en-US" w:bidi="ar-SA"/>
              </w:rPr>
              <w:t>18000</w:t>
            </w:r>
            <w:r>
              <w:rPr>
                <w:rFonts w:eastAsia="Times New Roman" w:cs="Calibri" w:cstheme="minorHAnsi"/>
                <w:spacing w:val="-5"/>
                <w:kern w:val="0"/>
                <w:position w:val="1"/>
                <w:sz w:val="22"/>
                <w:szCs w:val="22"/>
                <w:lang w:eastAsia="en-US" w:bidi="ar-SA"/>
              </w:rPr>
              <w:t xml:space="preserve"> </w:t>
            </w:r>
            <w:r>
              <w:rPr>
                <w:rFonts w:eastAsia="Times New Roman" w:cs="Calibri" w:cstheme="minorHAnsi"/>
                <w:kern w:val="0"/>
                <w:position w:val="1"/>
                <w:sz w:val="22"/>
                <w:szCs w:val="22"/>
                <w:lang w:eastAsia="en-US" w:bidi="ar-SA"/>
              </w:rPr>
              <w:t>µg/m3*h</w:t>
            </w:r>
          </w:p>
          <w:p>
            <w:pPr>
              <w:pStyle w:val="Normal"/>
              <w:widowControl w:val="false"/>
              <w:spacing w:lineRule="auto" w:line="240" w:before="0" w:after="0"/>
              <w:ind w:left="80" w:right="2" w:hanging="0"/>
              <w:jc w:val="center"/>
              <w:rPr>
                <w:rFonts w:eastAsia="Times New Roman" w:cs="Calibri" w:cstheme="minorHAnsi"/>
              </w:rPr>
            </w:pPr>
            <w:r>
              <w:rPr>
                <w:rFonts w:eastAsia="Times New Roman" w:cs="Calibri" w:cstheme="minorHAnsi"/>
                <w:kern w:val="0"/>
                <w:sz w:val="22"/>
                <w:szCs w:val="22"/>
                <w:lang w:eastAsia="en-US" w:bidi="ar-SA"/>
              </w:rPr>
              <w:t>(średnia z AOT40 dla</w:t>
            </w:r>
            <w:r>
              <w:rPr>
                <w:rFonts w:eastAsia="Times New Roman" w:cs="Calibri" w:cstheme="minorHAnsi"/>
                <w:spacing w:val="-42"/>
                <w:kern w:val="0"/>
                <w:sz w:val="22"/>
                <w:szCs w:val="22"/>
                <w:lang w:eastAsia="en-US" w:bidi="ar-SA"/>
              </w:rPr>
              <w:t xml:space="preserve"> </w:t>
            </w:r>
            <w:r>
              <w:rPr>
                <w:rFonts w:eastAsia="Times New Roman" w:cs="Calibri" w:cstheme="minorHAnsi"/>
                <w:kern w:val="0"/>
                <w:sz w:val="22"/>
                <w:szCs w:val="22"/>
                <w:lang w:eastAsia="en-US" w:bidi="ar-SA"/>
              </w:rPr>
              <w:t>ostatnich</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5</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lat)</w:t>
            </w:r>
          </w:p>
        </w:tc>
        <w:tc>
          <w:tcPr>
            <w:tcW w:w="2552"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35" w:before="77" w:after="0"/>
              <w:ind w:left="80" w:right="143" w:hanging="0"/>
              <w:jc w:val="center"/>
              <w:rPr>
                <w:rFonts w:eastAsia="Times New Roman" w:cs="Calibri" w:cstheme="minorHAnsi"/>
              </w:rPr>
            </w:pPr>
            <w:r>
              <w:rPr>
                <w:rFonts w:eastAsia="Times New Roman" w:cs="Calibri" w:cstheme="minorHAnsi"/>
                <w:kern w:val="0"/>
                <w:position w:val="1"/>
                <w:sz w:val="22"/>
                <w:szCs w:val="22"/>
                <w:lang w:eastAsia="en-US" w:bidi="ar-SA"/>
              </w:rPr>
              <w:t>AOT40</w:t>
            </w:r>
            <w:r>
              <w:rPr>
                <w:rFonts w:eastAsia="Times New Roman" w:cs="Calibri" w:cstheme="minorHAnsi"/>
                <w:kern w:val="0"/>
                <w:sz w:val="22"/>
                <w:szCs w:val="22"/>
                <w:lang w:eastAsia="en-US" w:bidi="ar-SA"/>
              </w:rPr>
              <w:t xml:space="preserve">5L </w:t>
            </w:r>
            <w:r>
              <w:rPr>
                <w:rFonts w:eastAsia="Times New Roman" w:cs="Calibri" w:cstheme="minorHAnsi"/>
                <w:kern w:val="0"/>
                <w:position w:val="1"/>
                <w:sz w:val="22"/>
                <w:szCs w:val="22"/>
                <w:lang w:eastAsia="en-US" w:bidi="ar-SA"/>
              </w:rPr>
              <w:t>&gt; 18000 µg/m3*h</w:t>
            </w:r>
            <w:r>
              <w:rPr>
                <w:rFonts w:eastAsia="Times New Roman" w:cs="Calibri" w:cstheme="minorHAnsi"/>
                <w:spacing w:val="-42"/>
                <w:kern w:val="0"/>
                <w:position w:val="1"/>
                <w:sz w:val="22"/>
                <w:szCs w:val="22"/>
                <w:lang w:eastAsia="en-US" w:bidi="ar-SA"/>
              </w:rPr>
              <w:t xml:space="preserve"> </w:t>
            </w:r>
            <w:r>
              <w:rPr>
                <w:rFonts w:eastAsia="Times New Roman" w:cs="Calibri" w:cstheme="minorHAnsi"/>
                <w:kern w:val="0"/>
                <w:sz w:val="22"/>
                <w:szCs w:val="22"/>
                <w:lang w:eastAsia="en-US" w:bidi="ar-SA"/>
              </w:rPr>
              <w:t>(średnia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z</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AOT40</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dla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ostatnich</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5</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lat)</w:t>
            </w:r>
          </w:p>
        </w:tc>
      </w:tr>
    </w:tbl>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Źródło: Roczna ocena jakości powietrza w województwie świętokrzyskim (raport wojewódzki za rok 2020)</w:t>
      </w:r>
    </w:p>
    <w:p>
      <w:pPr>
        <w:pStyle w:val="Normal"/>
        <w:widowControl w:val="false"/>
        <w:tabs>
          <w:tab w:val="clear" w:pos="720"/>
          <w:tab w:val="left" w:pos="478" w:leader="none"/>
        </w:tabs>
        <w:spacing w:lineRule="auto" w:line="240" w:before="0" w:after="0"/>
        <w:jc w:val="center"/>
        <w:rPr>
          <w:rFonts w:eastAsia="Arimo" w:cs="Calibri" w:cstheme="minorHAnsi"/>
          <w:highlight w:val="yellow"/>
        </w:rPr>
      </w:pPr>
      <w:r>
        <w:rPr>
          <w:rFonts w:eastAsia="Arimo" w:cs="Calibri" w:cstheme="minorHAnsi"/>
          <w:highlight w:val="yellow"/>
        </w:rPr>
      </w:r>
    </w:p>
    <w:p>
      <w:pPr>
        <w:pStyle w:val="Normal"/>
        <w:widowControl w:val="false"/>
        <w:tabs>
          <w:tab w:val="clear" w:pos="720"/>
          <w:tab w:val="left" w:pos="478" w:leader="none"/>
        </w:tabs>
        <w:spacing w:lineRule="auto" w:line="240" w:before="0" w:after="0"/>
        <w:jc w:val="both"/>
        <w:rPr>
          <w:rFonts w:eastAsia="Arimo" w:cs="Calibri" w:cstheme="minorHAnsi"/>
          <w:sz w:val="20"/>
          <w:szCs w:val="20"/>
        </w:rPr>
      </w:pPr>
      <w:r>
        <w:rPr>
          <w:rFonts w:eastAsia="Arimo" w:cs="Calibri" w:cstheme="minorHAnsi"/>
          <w:sz w:val="20"/>
          <w:szCs w:val="20"/>
        </w:rPr>
        <w:t>Objaśnienia do tabeli:</w:t>
      </w:r>
    </w:p>
    <w:p>
      <w:pPr>
        <w:pStyle w:val="Normal"/>
        <w:widowControl w:val="false"/>
        <w:tabs>
          <w:tab w:val="clear" w:pos="720"/>
          <w:tab w:val="left" w:pos="478" w:leader="none"/>
        </w:tabs>
        <w:spacing w:lineRule="auto" w:line="240" w:before="0" w:after="0"/>
        <w:jc w:val="both"/>
        <w:rPr>
          <w:rFonts w:eastAsia="Arimo" w:cs="Calibri" w:cstheme="minorHAnsi"/>
          <w:sz w:val="20"/>
          <w:szCs w:val="20"/>
        </w:rPr>
      </w:pPr>
      <w:r>
        <w:rPr>
          <w:rFonts w:eastAsia="Arimo" w:cs="Calibri" w:cstheme="minorHAnsi"/>
          <w:b/>
          <w:bCs/>
          <w:sz w:val="20"/>
          <w:szCs w:val="20"/>
        </w:rPr>
        <w:t>Sa</w:t>
      </w:r>
      <w:r>
        <w:rPr>
          <w:rFonts w:eastAsia="Arimo" w:cs="Calibri" w:cstheme="minorHAnsi"/>
          <w:sz w:val="20"/>
          <w:szCs w:val="20"/>
        </w:rPr>
        <w:t>- stężenie średnie roczne</w:t>
      </w:r>
    </w:p>
    <w:p>
      <w:pPr>
        <w:pStyle w:val="Normal"/>
        <w:widowControl w:val="false"/>
        <w:tabs>
          <w:tab w:val="clear" w:pos="720"/>
          <w:tab w:val="left" w:pos="478" w:leader="none"/>
        </w:tabs>
        <w:spacing w:lineRule="auto" w:line="240" w:before="0" w:after="0"/>
        <w:jc w:val="both"/>
        <w:rPr>
          <w:rFonts w:eastAsia="Arimo" w:cs="Calibri" w:cstheme="minorHAnsi"/>
          <w:sz w:val="20"/>
          <w:szCs w:val="20"/>
        </w:rPr>
      </w:pPr>
      <w:r>
        <w:rPr>
          <w:rFonts w:eastAsia="Arimo" w:cs="Calibri" w:cstheme="minorHAnsi"/>
          <w:b/>
          <w:bCs/>
          <w:sz w:val="20"/>
          <w:szCs w:val="20"/>
        </w:rPr>
        <w:t>Sw</w:t>
      </w:r>
      <w:r>
        <w:rPr>
          <w:rFonts w:eastAsia="Arimo" w:cs="Calibri" w:cstheme="minorHAnsi"/>
          <w:sz w:val="20"/>
          <w:szCs w:val="20"/>
        </w:rPr>
        <w:t>- stężenie średnie w sezonie zimowym; sezon zimowy obejmuje okres od 1 października roku poprzedzającego rok oceny do 31 marca w roku oceny.</w:t>
      </w:r>
    </w:p>
    <w:p>
      <w:pPr>
        <w:pStyle w:val="Normal"/>
        <w:widowControl w:val="false"/>
        <w:tabs>
          <w:tab w:val="clear" w:pos="720"/>
          <w:tab w:val="left" w:pos="478" w:leader="none"/>
        </w:tabs>
        <w:spacing w:lineRule="auto" w:line="240" w:before="0" w:after="0"/>
        <w:jc w:val="both"/>
        <w:rPr>
          <w:rFonts w:eastAsia="Arimo" w:cs="Calibri" w:cstheme="minorHAnsi"/>
          <w:sz w:val="20"/>
          <w:szCs w:val="20"/>
        </w:rPr>
      </w:pPr>
      <w:r>
        <w:rPr>
          <w:rFonts w:eastAsia="Arimo" w:cs="Calibri" w:cstheme="minorHAnsi"/>
          <w:b/>
          <w:bCs/>
          <w:sz w:val="20"/>
          <w:szCs w:val="20"/>
        </w:rPr>
        <w:t>AOT405L</w:t>
      </w:r>
      <w:r>
        <w:rPr>
          <w:rFonts w:eastAsia="Arimo" w:cs="Calibri" w:cstheme="minorHAnsi"/>
          <w:sz w:val="20"/>
          <w:szCs w:val="20"/>
        </w:rPr>
        <w:t xml:space="preserve"> –suma różnic pomiędzy stężeniem średnim jednogodzinnym wyrażonym w μg/m3 a wartością 80 μg/m3, dla każdej godziny w ciągu doby pomiędzy godziną 8:00 a 20:00 czasu środkowoeuropejskiego CET, dla której stężenie jest większe niż 80 μg/m3. Wartość uśredniona dla kolejnych pięciu lat; w przypadku braku kompletnych danych pomiarowych z pięciu lat dotrzymanie dopuszczalnej częstości przekroczeń sprawdza się na podstawie danych pomiarowych z co najmniej trzech lat.</w:t>
      </w:r>
    </w:p>
    <w:p>
      <w:pPr>
        <w:pStyle w:val="Normal"/>
        <w:rPr>
          <w:rFonts w:eastAsia="Arimo" w:cs="Calibri" w:cstheme="minorHAnsi"/>
          <w:highlight w:val="yellow"/>
        </w:rPr>
      </w:pPr>
      <w:r>
        <w:rPr>
          <w:rFonts w:eastAsia="Arimo" w:cs="Calibri" w:cstheme="minorHAnsi"/>
          <w:highlight w:val="yellow"/>
        </w:rPr>
      </w:r>
      <w:r>
        <w:br w:type="page"/>
      </w:r>
    </w:p>
    <w:p>
      <w:pPr>
        <w:pStyle w:val="Normal"/>
        <w:widowControl w:val="false"/>
        <w:tabs>
          <w:tab w:val="clear" w:pos="720"/>
          <w:tab w:val="left" w:pos="478" w:leader="none"/>
        </w:tabs>
        <w:spacing w:lineRule="auto" w:line="240" w:before="0" w:after="0"/>
        <w:jc w:val="both"/>
        <w:rPr>
          <w:rFonts w:eastAsia="Arimo" w:cs="Calibri" w:cstheme="minorHAnsi"/>
        </w:rPr>
      </w:pPr>
      <w:r>
        <w:rPr>
          <w:rFonts w:eastAsia="Arimo" w:cs="Calibri" w:cstheme="minorHAnsi"/>
          <w:b/>
          <w:bCs/>
        </w:rPr>
        <w:t>Oceny jakości powietrza wykonywane są w odniesieniu do obszaru strefy</w:t>
      </w:r>
      <w:r>
        <w:rPr>
          <w:rFonts w:eastAsia="Arimo" w:cs="Calibri" w:cstheme="minorHAnsi"/>
        </w:rPr>
        <w:t xml:space="preserve">. Zgodnie z art. 87 ustawy - </w:t>
      </w:r>
      <w:r>
        <w:rPr>
          <w:rFonts w:eastAsia="Arimo" w:cs="Calibri" w:cstheme="minorHAnsi"/>
          <w:i/>
          <w:iCs/>
        </w:rPr>
        <w:t>Prawo ochrony środowiska</w:t>
      </w:r>
      <w:r>
        <w:rPr>
          <w:rFonts w:eastAsia="Arimo" w:cs="Calibri" w:cstheme="minorHAnsi"/>
        </w:rPr>
        <w:t xml:space="preserve"> obecnie dla wszystkich zanieczyszczeń uwzględnianych w ocenach jakości powietrza strefę stanowią:</w:t>
      </w:r>
    </w:p>
    <w:p>
      <w:pPr>
        <w:pStyle w:val="Normal"/>
        <w:widowControl w:val="false"/>
        <w:numPr>
          <w:ilvl w:val="0"/>
          <w:numId w:val="4"/>
        </w:numPr>
        <w:tabs>
          <w:tab w:val="clear" w:pos="720"/>
          <w:tab w:val="left" w:pos="709" w:leader="none"/>
        </w:tabs>
        <w:spacing w:lineRule="auto" w:line="240" w:before="0" w:after="0"/>
        <w:ind w:left="709" w:hanging="360"/>
        <w:contextualSpacing/>
        <w:jc w:val="both"/>
        <w:rPr>
          <w:rFonts w:eastAsia="Arimo" w:cs="Calibri" w:cstheme="minorHAnsi"/>
        </w:rPr>
      </w:pPr>
      <w:r>
        <w:rPr>
          <w:rFonts w:eastAsia="Arimo" w:cs="Calibri" w:cstheme="minorHAnsi"/>
        </w:rPr>
        <w:t>aglomeracja o liczbie mieszkańców powyżej 250 tysięcy,</w:t>
      </w:r>
    </w:p>
    <w:p>
      <w:pPr>
        <w:pStyle w:val="Normal"/>
        <w:widowControl w:val="false"/>
        <w:numPr>
          <w:ilvl w:val="0"/>
          <w:numId w:val="4"/>
        </w:numPr>
        <w:tabs>
          <w:tab w:val="clear" w:pos="720"/>
          <w:tab w:val="left" w:pos="709" w:leader="none"/>
        </w:tabs>
        <w:spacing w:lineRule="auto" w:line="240" w:before="0" w:after="0"/>
        <w:ind w:left="709" w:hanging="360"/>
        <w:contextualSpacing/>
        <w:jc w:val="both"/>
        <w:rPr>
          <w:rFonts w:eastAsia="Arimo" w:cs="Calibri" w:cstheme="minorHAnsi"/>
        </w:rPr>
      </w:pPr>
      <w:r>
        <w:rPr>
          <w:rFonts w:eastAsia="Arimo" w:cs="Calibri" w:cstheme="minorHAnsi"/>
        </w:rPr>
        <w:t>miasto (nie będące aglomeracją) o liczbie mieszkańców powyżej 100 tysięcy,</w:t>
      </w:r>
    </w:p>
    <w:p>
      <w:pPr>
        <w:pStyle w:val="Normal"/>
        <w:widowControl w:val="false"/>
        <w:numPr>
          <w:ilvl w:val="0"/>
          <w:numId w:val="4"/>
        </w:numPr>
        <w:tabs>
          <w:tab w:val="clear" w:pos="720"/>
          <w:tab w:val="left" w:pos="709" w:leader="none"/>
        </w:tabs>
        <w:spacing w:lineRule="auto" w:line="240" w:before="0" w:after="0"/>
        <w:ind w:left="709" w:hanging="360"/>
        <w:contextualSpacing/>
        <w:jc w:val="both"/>
        <w:rPr>
          <w:rFonts w:eastAsia="Arimo" w:cs="Calibri" w:cstheme="minorHAnsi"/>
        </w:rPr>
      </w:pPr>
      <w:r>
        <w:rPr>
          <w:rFonts w:eastAsia="Arimo" w:cs="Calibri" w:cstheme="minorHAnsi"/>
        </w:rPr>
        <w:t>pozostały obszar województwa, nie wchodzący w skład aglomeracji i miast powyżej 100 tys. mieszkańców.</w:t>
      </w:r>
    </w:p>
    <w:p>
      <w:pPr>
        <w:pStyle w:val="Normal"/>
        <w:widowControl w:val="false"/>
        <w:tabs>
          <w:tab w:val="clear" w:pos="720"/>
          <w:tab w:val="left" w:pos="478" w:leader="none"/>
        </w:tabs>
        <w:spacing w:lineRule="auto" w:line="240" w:before="0" w:after="0"/>
        <w:jc w:val="both"/>
        <w:rPr>
          <w:rFonts w:eastAsia="Arimo" w:cs="Calibri" w:cstheme="minorHAnsi"/>
        </w:rPr>
      </w:pPr>
      <w:r>
        <w:rPr>
          <w:rFonts w:eastAsia="Arimo" w:cs="Calibri" w:cstheme="minorHAnsi"/>
        </w:rPr>
      </w:r>
    </w:p>
    <w:p>
      <w:pPr>
        <w:pStyle w:val="Normal"/>
        <w:widowControl w:val="false"/>
        <w:tabs>
          <w:tab w:val="clear" w:pos="720"/>
          <w:tab w:val="left" w:pos="478" w:leader="none"/>
        </w:tabs>
        <w:spacing w:lineRule="auto" w:line="240" w:before="0" w:after="0"/>
        <w:jc w:val="both"/>
        <w:rPr>
          <w:rFonts w:eastAsia="Arimo" w:cs="Calibri" w:cstheme="minorHAnsi"/>
          <w:highlight w:val="yellow"/>
        </w:rPr>
      </w:pPr>
      <w:r>
        <w:rPr>
          <w:rFonts w:eastAsia="Arimo" w:cs="Calibri" w:cstheme="minorHAnsi"/>
        </w:rPr>
        <w:t xml:space="preserve">Nazwy i kody stref określa rozporządzenie Ministra Środowiska z dnia 2 sierpnia 2012 r. </w:t>
      </w:r>
      <w:r>
        <w:rPr>
          <w:rFonts w:eastAsia="Arimo" w:cs="Calibri" w:cstheme="minorHAnsi"/>
          <w:i/>
          <w:iCs/>
        </w:rPr>
        <w:t>w sprawie stref, w których dokonuje się oceny jakości powietrza</w:t>
      </w:r>
      <w:r>
        <w:rPr>
          <w:rStyle w:val="Zakotwiczenieprzypisudolnego"/>
          <w:rFonts w:eastAsia="Arimo" w:cs="Calibri" w:cstheme="minorHAnsi"/>
          <w:i/>
          <w:iCs/>
          <w:vertAlign w:val="superscript"/>
        </w:rPr>
        <w:footnoteReference w:id="11"/>
      </w:r>
      <w:r>
        <w:rPr>
          <w:rFonts w:eastAsia="Arimo" w:cs="Calibri" w:cstheme="minorHAnsi"/>
        </w:rPr>
        <w:t xml:space="preserve">. </w:t>
      </w:r>
    </w:p>
    <w:p>
      <w:pPr>
        <w:pStyle w:val="Normal"/>
        <w:widowControl w:val="false"/>
        <w:tabs>
          <w:tab w:val="clear" w:pos="720"/>
          <w:tab w:val="left" w:pos="478" w:leader="none"/>
        </w:tabs>
        <w:spacing w:lineRule="auto" w:line="240" w:before="0" w:after="0"/>
        <w:jc w:val="both"/>
        <w:rPr>
          <w:rFonts w:eastAsia="Arimo" w:cs="Calibri" w:cstheme="minorHAnsi"/>
          <w:highlight w:val="yellow"/>
        </w:rPr>
      </w:pPr>
      <w:r>
        <w:rPr>
          <w:rFonts w:eastAsia="Arimo" w:cs="Calibri" w:cstheme="minorHAnsi"/>
          <w:highlight w:val="yellow"/>
        </w:rPr>
      </w:r>
    </w:p>
    <w:p>
      <w:pPr>
        <w:pStyle w:val="Normal"/>
        <w:widowControl w:val="false"/>
        <w:tabs>
          <w:tab w:val="clear" w:pos="720"/>
          <w:tab w:val="left" w:pos="478" w:leader="none"/>
        </w:tabs>
        <w:spacing w:lineRule="auto" w:line="240" w:before="0" w:after="0"/>
        <w:jc w:val="both"/>
        <w:rPr>
          <w:rFonts w:cs="Calibri" w:cstheme="minorHAnsi"/>
          <w:b/>
          <w:b/>
          <w:bCs/>
          <w:u w:val="single"/>
        </w:rPr>
      </w:pPr>
      <w:r>
        <w:rPr>
          <w:rFonts w:eastAsia="Arimo" w:cs="Calibri" w:cstheme="minorHAnsi"/>
        </w:rPr>
        <w:t xml:space="preserve">W województwie świętokrzyskim, dla celów klasyfikacji </w:t>
      </w:r>
      <w:r>
        <w:rPr>
          <w:rFonts w:cs="Calibri" w:cstheme="minorHAnsi"/>
          <w:b/>
          <w:bCs/>
        </w:rPr>
        <w:t>w ocenie dokonywanej</w:t>
      </w:r>
      <w:r>
        <w:rPr>
          <w:rFonts w:cs="Calibri" w:cstheme="minorHAnsi"/>
        </w:rPr>
        <w:t xml:space="preserve"> pod kątem spełnienia kryteriów określonych w celu </w:t>
      </w:r>
      <w:r>
        <w:rPr>
          <w:rFonts w:cs="Calibri" w:cstheme="minorHAnsi"/>
          <w:b/>
          <w:bCs/>
          <w:u w:val="single"/>
        </w:rPr>
        <w:t>ochrony zdrowia ludzi</w:t>
      </w:r>
      <w:r>
        <w:rPr>
          <w:rFonts w:cs="Calibri" w:cstheme="minorHAnsi"/>
        </w:rPr>
        <w:t xml:space="preserve"> </w:t>
      </w:r>
      <w:r>
        <w:rPr>
          <w:rFonts w:cs="Calibri" w:cstheme="minorHAnsi"/>
          <w:b/>
          <w:bCs/>
        </w:rPr>
        <w:t>w</w:t>
      </w:r>
      <w:r>
        <w:rPr>
          <w:rFonts w:eastAsia="Arimo" w:cs="Calibri" w:cstheme="minorHAnsi"/>
          <w:b/>
          <w:bCs/>
        </w:rPr>
        <w:t xml:space="preserve">yłoniono 2 strefy: miasto Kielce i </w:t>
      </w:r>
      <w:r>
        <w:rPr>
          <w:rFonts w:eastAsia="Arimo" w:cs="Calibri" w:cstheme="minorHAnsi"/>
          <w:b/>
          <w:bCs/>
          <w:u w:val="single"/>
        </w:rPr>
        <w:t>strefę świętokrzyską na terenie której leży Gmina Dwikozy.</w:t>
      </w:r>
    </w:p>
    <w:p>
      <w:pPr>
        <w:pStyle w:val="Normal"/>
        <w:spacing w:lineRule="auto" w:line="240" w:before="0" w:after="0"/>
        <w:rPr>
          <w:rFonts w:cs="Calibri" w:cstheme="minorHAnsi"/>
          <w:i/>
          <w:i/>
          <w:iCs/>
        </w:rPr>
      </w:pPr>
      <w:r>
        <w:rPr>
          <w:rFonts w:cs="Calibri" w:cstheme="minorHAnsi"/>
          <w:i/>
          <w:iCs/>
        </w:rPr>
      </w:r>
    </w:p>
    <w:p>
      <w:pPr>
        <w:pStyle w:val="Normal"/>
        <w:spacing w:lineRule="auto" w:line="240" w:before="0" w:after="0"/>
        <w:jc w:val="center"/>
        <w:rPr>
          <w:rFonts w:eastAsia="Arimo" w:cs="Calibri" w:cstheme="minorHAnsi"/>
          <w:b/>
          <w:b/>
          <w:bCs/>
          <w:sz w:val="20"/>
          <w:szCs w:val="20"/>
        </w:rPr>
      </w:pPr>
      <w:bookmarkStart w:id="45" w:name="_Toc118887754"/>
      <w:bookmarkStart w:id="46" w:name="_Toc114224869"/>
      <w:bookmarkStart w:id="47" w:name="_Toc113967491"/>
      <w:r>
        <w:rPr>
          <w:rFonts w:cs="Calibri" w:cstheme="minorHAnsi"/>
          <w:sz w:val="20"/>
          <w:szCs w:val="20"/>
        </w:rPr>
        <w:t xml:space="preserve">Tabela </w:t>
      </w:r>
      <w:r>
        <w:rPr>
          <w:rFonts w:cs="Calibri" w:cstheme="minorHAnsi"/>
          <w:b/>
          <w:bCs/>
          <w:sz w:val="20"/>
          <w:szCs w:val="20"/>
        </w:rPr>
        <w:fldChar w:fldCharType="begin"/>
      </w:r>
      <w:r>
        <w:rPr>
          <w:sz w:val="20"/>
          <w:b/>
          <w:szCs w:val="20"/>
          <w:bCs/>
          <w:rFonts w:cs="Calibri"/>
        </w:rPr>
        <w:instrText xml:space="preserve"> SEQ Tabela \* ARABIC </w:instrText>
      </w:r>
      <w:r>
        <w:rPr>
          <w:sz w:val="20"/>
          <w:b/>
          <w:szCs w:val="20"/>
          <w:bCs/>
          <w:rFonts w:cs="Calibri"/>
        </w:rPr>
        <w:fldChar w:fldCharType="separate"/>
      </w:r>
      <w:r>
        <w:rPr>
          <w:sz w:val="20"/>
          <w:b/>
          <w:szCs w:val="20"/>
          <w:bCs/>
          <w:rFonts w:cs="Calibri"/>
        </w:rPr>
        <w:t>5</w:t>
      </w:r>
      <w:r>
        <w:rPr>
          <w:sz w:val="20"/>
          <w:b/>
          <w:szCs w:val="20"/>
          <w:bCs/>
          <w:rFonts w:cs="Calibri"/>
        </w:rPr>
        <w:fldChar w:fldCharType="end"/>
      </w:r>
      <w:r>
        <w:rPr>
          <w:rFonts w:cs="Calibri" w:cstheme="minorHAnsi"/>
          <w:sz w:val="20"/>
          <w:szCs w:val="20"/>
        </w:rPr>
        <w:t xml:space="preserve"> </w:t>
      </w:r>
      <w:r>
        <w:rPr>
          <w:rFonts w:cs="Times New Roman"/>
          <w:color w:val="000000"/>
          <w:sz w:val="20"/>
          <w:szCs w:val="20"/>
          <w:lang w:eastAsia="ar-SA"/>
        </w:rPr>
        <w:t>Zestawienie stref w województwie świętokrzyskim w ocenie dokonywanej pod kątem spełnienia kryteriów określonych w celu ochrony zdrowia ludzi</w:t>
      </w:r>
      <w:bookmarkEnd w:id="45"/>
      <w:bookmarkEnd w:id="46"/>
      <w:bookmarkEnd w:id="47"/>
    </w:p>
    <w:tbl>
      <w:tblPr>
        <w:tblStyle w:val="TableNormal"/>
        <w:tblW w:w="10207" w:type="dxa"/>
        <w:jc w:val="left"/>
        <w:tblInd w:w="-289" w:type="dxa"/>
        <w:tblLayout w:type="fixed"/>
        <w:tblCellMar>
          <w:top w:w="0" w:type="dxa"/>
          <w:left w:w="5" w:type="dxa"/>
          <w:bottom w:w="0" w:type="dxa"/>
          <w:right w:w="5" w:type="dxa"/>
        </w:tblCellMar>
        <w:tblLook w:firstRow="1" w:noVBand="0" w:lastRow="1" w:firstColumn="1" w:lastColumn="1" w:noHBand="0" w:val="01e0"/>
      </w:tblPr>
      <w:tblGrid>
        <w:gridCol w:w="425"/>
        <w:gridCol w:w="1134"/>
        <w:gridCol w:w="1419"/>
        <w:gridCol w:w="1983"/>
        <w:gridCol w:w="994"/>
        <w:gridCol w:w="1204"/>
        <w:gridCol w:w="1494"/>
        <w:gridCol w:w="1552"/>
      </w:tblGrid>
      <w:tr>
        <w:trPr>
          <w:trHeight w:val="909" w:hRule="atLeast"/>
        </w:trPr>
        <w:tc>
          <w:tcPr>
            <w:tcW w:w="425"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0"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22" w:after="0"/>
              <w:ind w:right="63" w:hanging="0"/>
              <w:jc w:val="center"/>
              <w:rPr>
                <w:rFonts w:eastAsia="Times New Roman" w:cs="Calibri" w:cstheme="minorHAnsi"/>
                <w:b/>
                <w:b/>
              </w:rPr>
            </w:pPr>
            <w:r>
              <w:rPr>
                <w:rFonts w:eastAsia="Times New Roman" w:cs="Calibri" w:cstheme="minorHAnsi"/>
                <w:b/>
                <w:kern w:val="0"/>
                <w:sz w:val="22"/>
                <w:szCs w:val="22"/>
                <w:lang w:eastAsia="en-US" w:bidi="ar-SA"/>
              </w:rPr>
              <w:t>Lp.</w:t>
            </w:r>
          </w:p>
        </w:tc>
        <w:tc>
          <w:tcPr>
            <w:tcW w:w="1134"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7"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right="156" w:hanging="0"/>
              <w:jc w:val="center"/>
              <w:rPr>
                <w:rFonts w:eastAsia="Times New Roman" w:cs="Calibri" w:cstheme="minorHAnsi"/>
                <w:b/>
                <w:b/>
              </w:rPr>
            </w:pPr>
            <w:r>
              <w:rPr>
                <w:rFonts w:eastAsia="Times New Roman" w:cs="Calibri" w:cstheme="minorHAnsi"/>
                <w:b/>
                <w:kern w:val="0"/>
                <w:sz w:val="22"/>
                <w:szCs w:val="22"/>
                <w:lang w:eastAsia="en-US" w:bidi="ar-SA"/>
              </w:rPr>
              <w:t>Kod</w:t>
            </w:r>
            <w:r>
              <w:rPr>
                <w:rFonts w:eastAsia="Times New Roman" w:cs="Calibri" w:cstheme="minorHAnsi"/>
                <w:b/>
                <w:spacing w:val="1"/>
                <w:kern w:val="0"/>
                <w:sz w:val="22"/>
                <w:szCs w:val="22"/>
                <w:lang w:eastAsia="en-US" w:bidi="ar-SA"/>
              </w:rPr>
              <w:t xml:space="preserve"> </w:t>
            </w:r>
            <w:r>
              <w:rPr>
                <w:rFonts w:eastAsia="Times New Roman" w:cs="Calibri" w:cstheme="minorHAnsi"/>
                <w:b/>
                <w:spacing w:val="-1"/>
                <w:kern w:val="0"/>
                <w:sz w:val="22"/>
                <w:szCs w:val="22"/>
                <w:lang w:eastAsia="en-US" w:bidi="ar-SA"/>
              </w:rPr>
              <w:t>strefy</w:t>
            </w:r>
          </w:p>
        </w:tc>
        <w:tc>
          <w:tcPr>
            <w:tcW w:w="1419"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122" w:after="0"/>
              <w:jc w:val="center"/>
              <w:rPr>
                <w:rFonts w:eastAsia="Times New Roman" w:cs="Calibri" w:cstheme="minorHAnsi"/>
                <w:b/>
                <w:b/>
              </w:rPr>
            </w:pPr>
            <w:r>
              <w:rPr>
                <w:rFonts w:eastAsia="Times New Roman" w:cs="Calibri" w:cstheme="minorHAnsi"/>
                <w:b/>
                <w:kern w:val="0"/>
                <w:sz w:val="22"/>
                <w:szCs w:val="22"/>
                <w:lang w:eastAsia="en-US" w:bidi="ar-SA"/>
              </w:rPr>
              <w:t>Nazwa</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strefy</w:t>
            </w:r>
          </w:p>
        </w:tc>
        <w:tc>
          <w:tcPr>
            <w:tcW w:w="1983"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122" w:after="0"/>
              <w:jc w:val="center"/>
              <w:rPr>
                <w:rFonts w:eastAsia="Times New Roman" w:cs="Calibri" w:cstheme="minorHAnsi"/>
                <w:b/>
                <w:b/>
              </w:rPr>
            </w:pPr>
            <w:r>
              <w:rPr>
                <w:rFonts w:eastAsia="Times New Roman" w:cs="Calibri" w:cstheme="minorHAnsi"/>
                <w:b/>
                <w:kern w:val="0"/>
                <w:sz w:val="22"/>
                <w:szCs w:val="22"/>
                <w:lang w:eastAsia="en-US" w:bidi="ar-SA"/>
              </w:rPr>
              <w:t>Typ</w:t>
            </w:r>
            <w:r>
              <w:rPr>
                <w:rFonts w:eastAsia="Times New Roman" w:cs="Calibri" w:cstheme="minorHAnsi"/>
                <w:b/>
                <w:spacing w:val="-3"/>
                <w:kern w:val="0"/>
                <w:sz w:val="22"/>
                <w:szCs w:val="22"/>
                <w:lang w:eastAsia="en-US" w:bidi="ar-SA"/>
              </w:rPr>
              <w:t xml:space="preserve"> </w:t>
            </w:r>
            <w:r>
              <w:rPr>
                <w:rFonts w:eastAsia="Times New Roman" w:cs="Calibri" w:cstheme="minorHAnsi"/>
                <w:b/>
                <w:kern w:val="0"/>
                <w:sz w:val="22"/>
                <w:szCs w:val="22"/>
                <w:lang w:eastAsia="en-US" w:bidi="ar-SA"/>
              </w:rPr>
              <w:t>strefy</w:t>
            </w:r>
          </w:p>
        </w:tc>
        <w:tc>
          <w:tcPr>
            <w:tcW w:w="994"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40" w:after="0"/>
              <w:ind w:left="159" w:right="125" w:hanging="0"/>
              <w:jc w:val="center"/>
              <w:rPr>
                <w:rFonts w:eastAsia="Times New Roman" w:cs="Calibri" w:cstheme="minorHAnsi"/>
                <w:b/>
                <w:b/>
              </w:rPr>
            </w:pPr>
            <w:r>
              <w:rPr>
                <w:rFonts w:eastAsia="Times New Roman" w:cs="Calibri" w:cstheme="minorHAnsi"/>
                <w:b/>
                <w:kern w:val="0"/>
                <w:sz w:val="22"/>
                <w:szCs w:val="22"/>
                <w:lang w:eastAsia="en-US" w:bidi="ar-SA"/>
              </w:rPr>
              <w:t>Powierzchnia</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strefy</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[km</w:t>
            </w:r>
            <w:r>
              <w:rPr>
                <w:rFonts w:eastAsia="Times New Roman" w:cs="Calibri" w:cstheme="minorHAnsi"/>
                <w:b/>
                <w:kern w:val="0"/>
                <w:sz w:val="22"/>
                <w:szCs w:val="22"/>
                <w:vertAlign w:val="superscript"/>
                <w:lang w:eastAsia="en-US" w:bidi="ar-SA"/>
              </w:rPr>
              <w:t>2</w:t>
            </w:r>
            <w:r>
              <w:rPr>
                <w:rFonts w:eastAsia="Times New Roman" w:cs="Calibri" w:cstheme="minorHAnsi"/>
                <w:b/>
                <w:kern w:val="0"/>
                <w:sz w:val="22"/>
                <w:szCs w:val="22"/>
                <w:lang w:eastAsia="en-US" w:bidi="ar-SA"/>
              </w:rPr>
              <w:t>]</w:t>
            </w:r>
          </w:p>
        </w:tc>
        <w:tc>
          <w:tcPr>
            <w:tcW w:w="1204"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143" w:after="0"/>
              <w:ind w:left="103" w:right="69" w:firstLine="6"/>
              <w:jc w:val="center"/>
              <w:rPr>
                <w:rFonts w:eastAsia="Times New Roman" w:cs="Calibri" w:cstheme="minorHAnsi"/>
                <w:b/>
                <w:b/>
              </w:rPr>
            </w:pPr>
            <w:r>
              <w:rPr>
                <w:rFonts w:eastAsia="Times New Roman" w:cs="Calibri" w:cstheme="minorHAnsi"/>
                <w:b/>
                <w:kern w:val="0"/>
                <w:sz w:val="22"/>
                <w:szCs w:val="22"/>
                <w:lang w:eastAsia="en-US" w:bidi="ar-SA"/>
              </w:rPr>
              <w:t>Liczba</w:t>
            </w:r>
            <w:r>
              <w:rPr>
                <w:rFonts w:eastAsia="Times New Roman" w:cs="Calibri" w:cstheme="minorHAnsi"/>
                <w:b/>
                <w:spacing w:val="1"/>
                <w:kern w:val="0"/>
                <w:sz w:val="22"/>
                <w:szCs w:val="22"/>
                <w:lang w:eastAsia="en-US" w:bidi="ar-SA"/>
              </w:rPr>
              <w:t xml:space="preserve"> </w:t>
            </w:r>
            <w:r>
              <w:rPr>
                <w:rFonts w:eastAsia="Times New Roman" w:cs="Calibri" w:cstheme="minorHAnsi"/>
                <w:b/>
                <w:spacing w:val="-1"/>
                <w:kern w:val="0"/>
                <w:sz w:val="22"/>
                <w:szCs w:val="22"/>
                <w:lang w:eastAsia="en-US" w:bidi="ar-SA"/>
              </w:rPr>
              <w:t>mieszkańców</w:t>
            </w:r>
            <w:r>
              <w:rPr>
                <w:rFonts w:eastAsia="Times New Roman" w:cs="Calibri" w:cstheme="minorHAnsi"/>
                <w:b/>
                <w:spacing w:val="-42"/>
                <w:kern w:val="0"/>
                <w:sz w:val="22"/>
                <w:szCs w:val="22"/>
                <w:lang w:eastAsia="en-US" w:bidi="ar-SA"/>
              </w:rPr>
              <w:t xml:space="preserve"> </w:t>
            </w:r>
            <w:r>
              <w:rPr>
                <w:rFonts w:eastAsia="Times New Roman" w:cs="Calibri" w:cstheme="minorHAnsi"/>
                <w:b/>
                <w:kern w:val="0"/>
                <w:sz w:val="22"/>
                <w:szCs w:val="22"/>
                <w:lang w:eastAsia="en-US" w:bidi="ar-SA"/>
              </w:rPr>
              <w:t>strefy</w:t>
            </w:r>
          </w:p>
        </w:tc>
        <w:tc>
          <w:tcPr>
            <w:tcW w:w="1494"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40" w:after="0"/>
              <w:ind w:left="100" w:right="84" w:firstLine="3"/>
              <w:jc w:val="center"/>
              <w:rPr>
                <w:rFonts w:eastAsia="Times New Roman" w:cs="Calibri" w:cstheme="minorHAnsi"/>
                <w:b/>
                <w:b/>
              </w:rPr>
            </w:pPr>
            <w:r>
              <w:rPr>
                <w:rFonts w:eastAsia="Times New Roman" w:cs="Calibri" w:cstheme="minorHAnsi"/>
                <w:b/>
                <w:kern w:val="0"/>
                <w:sz w:val="22"/>
                <w:szCs w:val="22"/>
                <w:lang w:eastAsia="en-US" w:bidi="ar-SA"/>
              </w:rPr>
              <w:t>Klasyfikacja</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wg</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kryteriów</w:t>
            </w:r>
            <w:r>
              <w:rPr>
                <w:rFonts w:eastAsia="Times New Roman" w:cs="Calibri" w:cstheme="minorHAnsi"/>
                <w:b/>
                <w:spacing w:val="3"/>
                <w:kern w:val="0"/>
                <w:sz w:val="22"/>
                <w:szCs w:val="22"/>
                <w:lang w:eastAsia="en-US" w:bidi="ar-SA"/>
              </w:rPr>
              <w:t xml:space="preserve"> </w:t>
            </w:r>
            <w:r>
              <w:rPr>
                <w:rFonts w:eastAsia="Times New Roman" w:cs="Calibri" w:cstheme="minorHAnsi"/>
                <w:b/>
                <w:kern w:val="0"/>
                <w:sz w:val="22"/>
                <w:szCs w:val="22"/>
                <w:lang w:eastAsia="en-US" w:bidi="ar-SA"/>
              </w:rPr>
              <w:t>dot.</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ochrony zdrowia</w:t>
            </w:r>
            <w:r>
              <w:rPr>
                <w:rFonts w:eastAsia="Times New Roman" w:cs="Calibri" w:cstheme="minorHAnsi"/>
                <w:b/>
                <w:spacing w:val="-42"/>
                <w:kern w:val="0"/>
                <w:sz w:val="22"/>
                <w:szCs w:val="22"/>
                <w:lang w:eastAsia="en-US" w:bidi="ar-SA"/>
              </w:rPr>
              <w:t xml:space="preserve"> </w:t>
            </w:r>
            <w:r>
              <w:rPr>
                <w:rFonts w:eastAsia="Times New Roman" w:cs="Calibri" w:cstheme="minorHAnsi"/>
                <w:b/>
                <w:kern w:val="0"/>
                <w:sz w:val="22"/>
                <w:szCs w:val="22"/>
                <w:lang w:eastAsia="en-US" w:bidi="ar-SA"/>
              </w:rPr>
              <w:t>[tak/nie]</w:t>
            </w:r>
          </w:p>
        </w:tc>
        <w:tc>
          <w:tcPr>
            <w:tcW w:w="1552" w:type="dxa"/>
            <w:tcBorders>
              <w:top w:val="single" w:sz="4" w:space="0" w:color="000000"/>
              <w:left w:val="single" w:sz="4" w:space="0" w:color="000000"/>
              <w:bottom w:val="single" w:sz="4" w:space="0" w:color="000000"/>
              <w:right w:val="single" w:sz="4" w:space="0" w:color="000000"/>
            </w:tcBorders>
            <w:shd w:color="auto" w:fill="00AFEF" w:val="clear"/>
            <w:vAlign w:val="center"/>
          </w:tcPr>
          <w:p>
            <w:pPr>
              <w:pStyle w:val="Normal"/>
              <w:widowControl w:val="false"/>
              <w:spacing w:lineRule="auto" w:line="240" w:before="40" w:after="0"/>
              <w:ind w:left="83" w:right="49" w:firstLine="84"/>
              <w:jc w:val="center"/>
              <w:rPr>
                <w:rFonts w:eastAsia="Times New Roman" w:cs="Calibri" w:cstheme="minorHAnsi"/>
                <w:b/>
                <w:b/>
              </w:rPr>
            </w:pPr>
            <w:r>
              <w:rPr>
                <w:rFonts w:eastAsia="Times New Roman" w:cs="Calibri" w:cstheme="minorHAnsi"/>
                <w:b/>
                <w:kern w:val="0"/>
                <w:sz w:val="22"/>
                <w:szCs w:val="22"/>
                <w:lang w:eastAsia="en-US" w:bidi="ar-SA"/>
              </w:rPr>
              <w:t>Klasyfikacja</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wg kryteriów</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dot. ochrony</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roślin</w:t>
            </w:r>
            <w:r>
              <w:rPr>
                <w:rFonts w:eastAsia="Times New Roman" w:cs="Calibri" w:cstheme="minorHAnsi"/>
                <w:b/>
                <w:spacing w:val="-8"/>
                <w:kern w:val="0"/>
                <w:sz w:val="22"/>
                <w:szCs w:val="22"/>
                <w:lang w:eastAsia="en-US" w:bidi="ar-SA"/>
              </w:rPr>
              <w:t xml:space="preserve"> </w:t>
            </w:r>
            <w:r>
              <w:rPr>
                <w:rFonts w:eastAsia="Times New Roman" w:cs="Calibri" w:cstheme="minorHAnsi"/>
                <w:b/>
                <w:kern w:val="0"/>
                <w:sz w:val="22"/>
                <w:szCs w:val="22"/>
                <w:lang w:eastAsia="en-US" w:bidi="ar-SA"/>
              </w:rPr>
              <w:t>[tak/nie]</w:t>
            </w:r>
          </w:p>
        </w:tc>
      </w:tr>
      <w:tr>
        <w:trPr>
          <w:trHeight w:val="494" w:hRule="atLeast"/>
        </w:trPr>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47" w:hanging="0"/>
              <w:jc w:val="center"/>
              <w:rPr>
                <w:rFonts w:eastAsia="Times New Roman" w:cs="Calibri" w:cstheme="minorHAnsi"/>
              </w:rPr>
            </w:pPr>
            <w:r>
              <w:rPr>
                <w:rFonts w:eastAsia="Times New Roman" w:cs="Calibri" w:cstheme="minorHAnsi"/>
                <w:kern w:val="0"/>
                <w:sz w:val="22"/>
                <w:szCs w:val="22"/>
                <w:lang w:eastAsia="en-US" w:bidi="ar-SA"/>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70" w:right="137" w:hanging="0"/>
              <w:jc w:val="center"/>
              <w:rPr>
                <w:rFonts w:eastAsia="Times New Roman" w:cs="Calibri" w:cstheme="minorHAnsi"/>
              </w:rPr>
            </w:pPr>
            <w:r>
              <w:rPr>
                <w:rFonts w:eastAsia="Times New Roman" w:cs="Calibri" w:cstheme="minorHAnsi"/>
                <w:kern w:val="0"/>
                <w:sz w:val="22"/>
                <w:szCs w:val="22"/>
                <w:lang w:eastAsia="en-US" w:bidi="ar-SA"/>
              </w:rPr>
              <w:t>PL2601</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88" w:hanging="0"/>
              <w:jc w:val="center"/>
              <w:rPr>
                <w:rFonts w:eastAsia="Times New Roman" w:cs="Calibri" w:cstheme="minorHAnsi"/>
              </w:rPr>
            </w:pPr>
            <w:r>
              <w:rPr>
                <w:rFonts w:eastAsia="Times New Roman" w:cs="Calibri" w:cstheme="minorHAnsi"/>
                <w:kern w:val="0"/>
                <w:sz w:val="22"/>
                <w:szCs w:val="22"/>
                <w:lang w:eastAsia="en-US" w:bidi="ar-SA"/>
              </w:rPr>
              <w:t>miasto Kielce</w:t>
            </w:r>
          </w:p>
        </w:tc>
        <w:tc>
          <w:tcPr>
            <w:tcW w:w="1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7" w:before="40" w:after="0"/>
              <w:ind w:left="73" w:hanging="0"/>
              <w:jc w:val="center"/>
              <w:rPr>
                <w:rFonts w:eastAsia="Times New Roman" w:cs="Calibri" w:cstheme="minorHAnsi"/>
              </w:rPr>
            </w:pPr>
            <w:r>
              <w:rPr>
                <w:rFonts w:eastAsia="Times New Roman" w:cs="Calibri" w:cstheme="minorHAnsi"/>
                <w:kern w:val="0"/>
                <w:sz w:val="22"/>
                <w:szCs w:val="22"/>
                <w:lang w:eastAsia="en-US" w:bidi="ar-SA"/>
              </w:rPr>
              <w:t>miasto pow.</w:t>
            </w:r>
          </w:p>
          <w:p>
            <w:pPr>
              <w:pStyle w:val="Normal"/>
              <w:widowControl w:val="false"/>
              <w:spacing w:lineRule="exact" w:line="207" w:before="0" w:after="0"/>
              <w:ind w:left="73" w:hanging="0"/>
              <w:jc w:val="center"/>
              <w:rPr>
                <w:rFonts w:eastAsia="Times New Roman" w:cs="Calibri" w:cstheme="minorHAnsi"/>
              </w:rPr>
            </w:pPr>
            <w:r>
              <w:rPr>
                <w:rFonts w:eastAsia="Times New Roman" w:cs="Calibri" w:cstheme="minorHAnsi"/>
                <w:kern w:val="0"/>
                <w:sz w:val="22"/>
                <w:szCs w:val="22"/>
                <w:lang w:eastAsia="en-US" w:bidi="ar-SA"/>
              </w:rPr>
              <w:t>100.000</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mieszk.</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49" w:hanging="0"/>
              <w:jc w:val="center"/>
              <w:rPr>
                <w:rFonts w:eastAsia="Times New Roman" w:cs="Calibri" w:cstheme="minorHAnsi"/>
              </w:rPr>
            </w:pPr>
            <w:r>
              <w:rPr>
                <w:rFonts w:eastAsia="Times New Roman" w:cs="Calibri" w:cstheme="minorHAnsi"/>
                <w:kern w:val="0"/>
                <w:sz w:val="22"/>
                <w:szCs w:val="22"/>
                <w:lang w:eastAsia="en-US" w:bidi="ar-SA"/>
              </w:rPr>
              <w:t>110</w:t>
            </w:r>
          </w:p>
        </w:tc>
        <w:tc>
          <w:tcPr>
            <w:tcW w:w="1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39" w:hanging="0"/>
              <w:jc w:val="center"/>
              <w:rPr>
                <w:rFonts w:eastAsia="Times New Roman" w:cs="Calibri" w:cstheme="minorHAnsi"/>
              </w:rPr>
            </w:pPr>
            <w:r>
              <w:rPr>
                <w:rFonts w:eastAsia="Times New Roman" w:cs="Calibri" w:cstheme="minorHAnsi"/>
                <w:kern w:val="0"/>
                <w:sz w:val="22"/>
                <w:szCs w:val="22"/>
                <w:lang w:eastAsia="en-US" w:bidi="ar-SA"/>
              </w:rPr>
              <w:t>194</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852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6" w:hanging="0"/>
              <w:jc w:val="center"/>
              <w:rPr>
                <w:rFonts w:eastAsia="Times New Roman" w:cs="Calibri" w:cstheme="minorHAnsi"/>
              </w:rPr>
            </w:pPr>
            <w:r>
              <w:rPr>
                <w:rFonts w:eastAsia="Times New Roman" w:cs="Calibri" w:cstheme="minorHAnsi"/>
                <w:kern w:val="0"/>
                <w:sz w:val="22"/>
                <w:szCs w:val="22"/>
                <w:lang w:eastAsia="en-US" w:bidi="ar-SA"/>
              </w:rPr>
              <w:t>tak</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7" w:hanging="0"/>
              <w:jc w:val="center"/>
              <w:rPr>
                <w:rFonts w:eastAsia="Times New Roman" w:cs="Calibri" w:cstheme="minorHAnsi"/>
              </w:rPr>
            </w:pPr>
            <w:r>
              <w:rPr>
                <w:rFonts w:eastAsia="Times New Roman" w:cs="Calibri" w:cstheme="minorHAnsi"/>
                <w:kern w:val="0"/>
                <w:sz w:val="22"/>
                <w:szCs w:val="22"/>
                <w:lang w:eastAsia="en-US" w:bidi="ar-SA"/>
              </w:rPr>
              <w:t>nie</w:t>
            </w:r>
          </w:p>
        </w:tc>
      </w:tr>
      <w:tr>
        <w:trPr>
          <w:trHeight w:val="493" w:hRule="atLeast"/>
        </w:trPr>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47" w:hanging="0"/>
              <w:jc w:val="center"/>
              <w:rPr>
                <w:rFonts w:eastAsia="Times New Roman" w:cs="Calibri" w:cstheme="minorHAnsi"/>
              </w:rPr>
            </w:pPr>
            <w:r>
              <w:rPr>
                <w:rFonts w:eastAsia="Times New Roman" w:cs="Calibri" w:cstheme="minorHAnsi"/>
                <w:kern w:val="0"/>
                <w:sz w:val="22"/>
                <w:szCs w:val="22"/>
                <w:lang w:eastAsia="en-US" w:bidi="ar-SA"/>
              </w:rPr>
              <w:t>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70" w:right="137" w:hanging="0"/>
              <w:jc w:val="center"/>
              <w:rPr>
                <w:rFonts w:eastAsia="Times New Roman" w:cs="Calibri" w:cstheme="minorHAnsi"/>
              </w:rPr>
            </w:pPr>
            <w:r>
              <w:rPr>
                <w:rFonts w:eastAsia="Times New Roman" w:cs="Calibri" w:cstheme="minorHAnsi"/>
                <w:kern w:val="0"/>
                <w:sz w:val="22"/>
                <w:szCs w:val="22"/>
                <w:lang w:eastAsia="en-US" w:bidi="ar-SA"/>
              </w:rPr>
              <w:t>PL2602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left="88" w:hanging="0"/>
              <w:jc w:val="center"/>
              <w:rPr>
                <w:rFonts w:eastAsia="Times New Roman" w:cs="Calibri" w:cstheme="minorHAnsi"/>
              </w:rPr>
            </w:pPr>
            <w:r>
              <w:rPr>
                <w:rFonts w:eastAsia="Times New Roman" w:cs="Calibri" w:cstheme="minorHAnsi"/>
                <w:kern w:val="0"/>
                <w:sz w:val="22"/>
                <w:szCs w:val="22"/>
                <w:lang w:eastAsia="en-US" w:bidi="ar-SA"/>
              </w:rPr>
              <w:t>strefa</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świętokrzyska</w:t>
            </w:r>
          </w:p>
        </w:tc>
        <w:tc>
          <w:tcPr>
            <w:tcW w:w="1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40" w:after="0"/>
              <w:ind w:left="73" w:right="130" w:hanging="0"/>
              <w:jc w:val="center"/>
              <w:rPr>
                <w:rFonts w:eastAsia="Times New Roman" w:cs="Calibri" w:cstheme="minorHAnsi"/>
              </w:rPr>
            </w:pPr>
            <w:r>
              <w:rPr>
                <w:rFonts w:eastAsia="Times New Roman" w:cs="Calibri" w:cstheme="minorHAnsi"/>
                <w:kern w:val="0"/>
                <w:sz w:val="22"/>
                <w:szCs w:val="22"/>
                <w:lang w:eastAsia="en-US" w:bidi="ar-SA"/>
              </w:rPr>
              <w:t>reszta</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województwa</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51" w:hanging="0"/>
              <w:jc w:val="center"/>
              <w:rPr>
                <w:rFonts w:eastAsia="Times New Roman" w:cs="Calibri" w:cstheme="minorHAnsi"/>
              </w:rPr>
            </w:pPr>
            <w:r>
              <w:rPr>
                <w:rFonts w:eastAsia="Times New Roman" w:cs="Calibri" w:cstheme="minorHAnsi"/>
                <w:kern w:val="0"/>
                <w:sz w:val="22"/>
                <w:szCs w:val="22"/>
                <w:lang w:eastAsia="en-US" w:bidi="ar-SA"/>
              </w:rPr>
              <w:t>11</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600</w:t>
            </w:r>
          </w:p>
        </w:tc>
        <w:tc>
          <w:tcPr>
            <w:tcW w:w="1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39" w:hanging="0"/>
              <w:jc w:val="center"/>
              <w:rPr>
                <w:rFonts w:eastAsia="Times New Roman" w:cs="Calibri" w:cstheme="minorHAnsi"/>
              </w:rPr>
            </w:pPr>
            <w:r>
              <w:rPr>
                <w:rFonts w:eastAsia="Times New Roman" w:cs="Calibri" w:cstheme="minorHAnsi"/>
                <w:kern w:val="0"/>
                <w:sz w:val="22"/>
                <w:szCs w:val="22"/>
                <w:lang w:eastAsia="en-US" w:bidi="ar-SA"/>
              </w:rPr>
              <w:t>1 039</w:t>
            </w:r>
            <w:r>
              <w:rPr>
                <w:rFonts w:eastAsia="Times New Roman" w:cs="Calibri" w:cstheme="minorHAnsi"/>
                <w:spacing w:val="-2"/>
                <w:kern w:val="0"/>
                <w:sz w:val="22"/>
                <w:szCs w:val="22"/>
                <w:lang w:eastAsia="en-US" w:bidi="ar-SA"/>
              </w:rPr>
              <w:t xml:space="preserve"> </w:t>
            </w:r>
            <w:r>
              <w:rPr>
                <w:rFonts w:eastAsia="Times New Roman" w:cs="Calibri" w:cstheme="minorHAnsi"/>
                <w:kern w:val="0"/>
                <w:sz w:val="22"/>
                <w:szCs w:val="22"/>
                <w:lang w:eastAsia="en-US" w:bidi="ar-SA"/>
              </w:rPr>
              <w:t>109</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148" w:hanging="0"/>
              <w:jc w:val="center"/>
              <w:rPr>
                <w:rFonts w:eastAsia="Times New Roman" w:cs="Calibri" w:cstheme="minorHAnsi"/>
              </w:rPr>
            </w:pPr>
            <w:r>
              <w:rPr>
                <w:rFonts w:eastAsia="Times New Roman" w:cs="Calibri" w:cstheme="minorHAnsi"/>
                <w:kern w:val="0"/>
                <w:sz w:val="22"/>
                <w:szCs w:val="22"/>
                <w:lang w:eastAsia="en-US" w:bidi="ar-SA"/>
              </w:rPr>
              <w:t>tak</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143" w:after="0"/>
              <w:ind w:right="7" w:hanging="0"/>
              <w:jc w:val="center"/>
              <w:rPr>
                <w:rFonts w:eastAsia="Times New Roman" w:cs="Calibri" w:cstheme="minorHAnsi"/>
              </w:rPr>
            </w:pPr>
            <w:r>
              <w:rPr>
                <w:rFonts w:eastAsia="Times New Roman" w:cs="Calibri" w:cstheme="minorHAnsi"/>
                <w:kern w:val="0"/>
                <w:sz w:val="22"/>
                <w:szCs w:val="22"/>
                <w:lang w:eastAsia="en-US" w:bidi="ar-SA"/>
              </w:rPr>
              <w:t>tak</w:t>
            </w:r>
          </w:p>
        </w:tc>
      </w:tr>
    </w:tbl>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 xml:space="preserve">Źródło: Roczna ocena jakości powietrza w województwie świętokrzyskim </w:t>
      </w:r>
    </w:p>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(raport wojewódzki za rok 2020)</w:t>
      </w:r>
    </w:p>
    <w:p>
      <w:pPr>
        <w:pStyle w:val="Normal"/>
        <w:widowControl w:val="false"/>
        <w:tabs>
          <w:tab w:val="clear" w:pos="720"/>
          <w:tab w:val="left" w:pos="478" w:leader="none"/>
        </w:tabs>
        <w:spacing w:lineRule="auto" w:line="240" w:before="0" w:after="0"/>
        <w:jc w:val="center"/>
        <w:rPr>
          <w:rFonts w:eastAsia="Arimo" w:cs="Calibri" w:cstheme="minorHAnsi"/>
          <w:highlight w:val="yellow"/>
        </w:rPr>
      </w:pPr>
      <w:r>
        <w:rPr>
          <w:rFonts w:eastAsia="Arimo" w:cs="Calibri" w:cstheme="minorHAnsi"/>
          <w:highlight w:val="yellow"/>
        </w:rPr>
      </w:r>
    </w:p>
    <w:p>
      <w:pPr>
        <w:pStyle w:val="Normal"/>
        <w:spacing w:lineRule="auto" w:line="240" w:before="0" w:after="0"/>
        <w:jc w:val="both"/>
        <w:rPr>
          <w:rFonts w:eastAsia="Calibri" w:cs="Calibri" w:cstheme="minorHAnsi"/>
        </w:rPr>
      </w:pPr>
      <w:r>
        <w:rPr>
          <w:rFonts w:eastAsia="Calibri" w:cs="Calibri" w:cstheme="minorHAnsi"/>
        </w:rPr>
        <w:t xml:space="preserve">Analizując wyniki oceny rocznej i klasyfikacji stref dla kryterium ochrony zdrowia ludzi obie strefy </w:t>
        <w:br/>
        <w:t xml:space="preserve">w regionie </w:t>
      </w:r>
      <w:r>
        <w:rPr>
          <w:rFonts w:eastAsia="Calibri" w:cs="Calibri" w:cstheme="minorHAnsi"/>
          <w:b/>
          <w:bCs/>
          <w:u w:val="single"/>
        </w:rPr>
        <w:t>uzyskały klasę C</w:t>
      </w:r>
      <w:r>
        <w:rPr>
          <w:rFonts w:eastAsia="Calibri" w:cs="Calibri" w:cstheme="minorHAnsi"/>
        </w:rPr>
        <w:t xml:space="preserve"> </w:t>
      </w:r>
      <w:r>
        <w:rPr>
          <w:rFonts w:eastAsia="Calibri" w:cs="Calibri" w:cstheme="minorHAnsi"/>
          <w:b/>
          <w:bCs/>
          <w:u w:val="single"/>
        </w:rPr>
        <w:t>z powodu przekroczeń poziomu docelowego benzo(a)pirenu</w:t>
      </w:r>
      <w:r>
        <w:rPr>
          <w:rFonts w:eastAsia="Calibri" w:cs="Calibri" w:cstheme="minorHAnsi"/>
        </w:rPr>
        <w:t xml:space="preserve">. Przekroczenie wystąpiło również w zakresie poziomu celu długoterminowego określonego dla ozonu </w:t>
        <w:br/>
        <w:t xml:space="preserve">i skutkowało nadaniem obu strefom </w:t>
      </w:r>
      <w:r>
        <w:rPr>
          <w:rFonts w:eastAsia="Calibri" w:cs="Calibri" w:cstheme="minorHAnsi"/>
          <w:b/>
          <w:bCs/>
        </w:rPr>
        <w:t>klasy D2</w:t>
      </w:r>
      <w:r>
        <w:rPr>
          <w:rFonts w:eastAsia="Calibri" w:cs="Calibri" w:cstheme="minorHAnsi"/>
        </w:rPr>
        <w:t xml:space="preserve">. Dla pozostałych zanieczyszczeń, z uwagi na dotrzymanie poziomu dopuszczalnego lub docelowego dla każdej z ocenianych substancji, strefom nadano status </w:t>
      </w:r>
      <w:r>
        <w:rPr>
          <w:rFonts w:eastAsia="Calibri" w:cs="Calibri" w:cstheme="minorHAnsi"/>
          <w:b/>
          <w:bCs/>
        </w:rPr>
        <w:t>klasy A</w:t>
      </w:r>
      <w:r>
        <w:rPr>
          <w:rFonts w:eastAsia="Calibri" w:cs="Calibri" w:cstheme="minorHAnsi"/>
        </w:rPr>
        <w:t xml:space="preserve">, a w przypadku pyłu PM2,5 w klasyfikacji podstawowej - </w:t>
      </w:r>
      <w:r>
        <w:rPr>
          <w:rFonts w:eastAsia="Calibri" w:cs="Calibri" w:cstheme="minorHAnsi"/>
          <w:b/>
          <w:bCs/>
        </w:rPr>
        <w:t>klasy A1.</w:t>
      </w:r>
      <w:r>
        <w:rPr>
          <w:rFonts w:eastAsia="Calibri" w:cs="Calibri" w:cstheme="minorHAnsi"/>
        </w:rPr>
        <w:t xml:space="preserve"> Dodatkowa klasyfikacja pod kątem zanieczyszczenia pyłem zawieszonym PM2,5 (poziom dopuszczalny określony dla fazy I) również skutkowała nadaniem klasy A dla obu stref. Ogólne wyniki klasyfikacji stref w województwie świętokrzyskim za 2020 rok ze względu na ochronę zdrowia ludzi przedstawiono w tabeli poniżej.</w:t>
      </w:r>
    </w:p>
    <w:p>
      <w:pPr>
        <w:pStyle w:val="Normal"/>
        <w:rPr>
          <w:rFonts w:cs="Calibri" w:cstheme="minorHAnsi"/>
        </w:rPr>
      </w:pPr>
      <w:r>
        <w:rPr>
          <w:rFonts w:cs="Calibri" w:cstheme="minorHAnsi"/>
        </w:rPr>
      </w:r>
      <w:r>
        <w:br w:type="page"/>
      </w:r>
    </w:p>
    <w:p>
      <w:pPr>
        <w:pStyle w:val="Normal"/>
        <w:spacing w:lineRule="auto" w:line="240" w:before="0" w:after="0"/>
        <w:jc w:val="center"/>
        <w:rPr>
          <w:rFonts w:eastAsia="Arimo" w:cs="Calibri" w:cstheme="minorHAnsi"/>
          <w:b/>
          <w:b/>
          <w:bCs/>
          <w:sz w:val="20"/>
          <w:szCs w:val="20"/>
        </w:rPr>
      </w:pPr>
      <w:bookmarkStart w:id="48" w:name="_Toc118887755"/>
      <w:bookmarkStart w:id="49" w:name="_Toc114224870"/>
      <w:bookmarkStart w:id="50" w:name="_Toc113967492"/>
      <w:r>
        <w:rPr>
          <w:rFonts w:cs="Calibri" w:cstheme="minorHAnsi"/>
          <w:sz w:val="20"/>
          <w:szCs w:val="20"/>
        </w:rPr>
        <w:t xml:space="preserve">Tabela </w:t>
      </w:r>
      <w:r>
        <w:rPr>
          <w:rFonts w:cs="Calibri" w:cstheme="minorHAnsi"/>
          <w:b/>
          <w:bCs/>
          <w:sz w:val="20"/>
          <w:szCs w:val="20"/>
        </w:rPr>
        <w:fldChar w:fldCharType="begin"/>
      </w:r>
      <w:r>
        <w:rPr>
          <w:sz w:val="20"/>
          <w:b/>
          <w:szCs w:val="20"/>
          <w:bCs/>
          <w:rFonts w:cs="Calibri"/>
        </w:rPr>
        <w:instrText xml:space="preserve"> SEQ Tabela \* ARABIC </w:instrText>
      </w:r>
      <w:r>
        <w:rPr>
          <w:sz w:val="20"/>
          <w:b/>
          <w:szCs w:val="20"/>
          <w:bCs/>
          <w:rFonts w:cs="Calibri"/>
        </w:rPr>
        <w:fldChar w:fldCharType="separate"/>
      </w:r>
      <w:r>
        <w:rPr>
          <w:sz w:val="20"/>
          <w:b/>
          <w:szCs w:val="20"/>
          <w:bCs/>
          <w:rFonts w:cs="Calibri"/>
        </w:rPr>
        <w:t>6</w:t>
      </w:r>
      <w:r>
        <w:rPr>
          <w:sz w:val="20"/>
          <w:b/>
          <w:szCs w:val="20"/>
          <w:bCs/>
          <w:rFonts w:cs="Calibri"/>
        </w:rPr>
        <w:fldChar w:fldCharType="end"/>
      </w:r>
      <w:r>
        <w:rPr>
          <w:rFonts w:cs="Calibri" w:cstheme="minorHAnsi"/>
          <w:sz w:val="20"/>
          <w:szCs w:val="20"/>
        </w:rPr>
        <w:t xml:space="preserve"> </w:t>
      </w:r>
      <w:r>
        <w:rPr>
          <w:rFonts w:eastAsia="Arimo" w:cs="Calibri" w:cstheme="minorHAnsi"/>
          <w:sz w:val="20"/>
          <w:szCs w:val="20"/>
        </w:rPr>
        <w:t xml:space="preserve">Klasy stref dla poszczególnych zanieczyszczeń, uzyskane w ocenie rocznej dokonanej </w:t>
        <w:br/>
        <w:t>z uwzględnieniem kryteriów ustanowionych w celu ochrony zdrowia ludzi - klasyfikacja podstawowa (klasy: A, C oraz A1, C1 dla pyłu PM2,5)</w:t>
      </w:r>
      <w:bookmarkEnd w:id="48"/>
      <w:bookmarkEnd w:id="49"/>
      <w:bookmarkEnd w:id="50"/>
      <w:r>
        <w:rPr>
          <w:rFonts w:eastAsia="Arimo" w:cs="Calibri" w:cstheme="minorHAnsi"/>
          <w:sz w:val="20"/>
          <w:szCs w:val="20"/>
        </w:rPr>
        <w:t xml:space="preserve"> </w:t>
      </w:r>
    </w:p>
    <w:tbl>
      <w:tblPr>
        <w:tblStyle w:val="TableNormal"/>
        <w:tblW w:w="10957" w:type="dxa"/>
        <w:jc w:val="left"/>
        <w:tblInd w:w="-714" w:type="dxa"/>
        <w:tblLayout w:type="fixed"/>
        <w:tblCellMar>
          <w:top w:w="0" w:type="dxa"/>
          <w:left w:w="5" w:type="dxa"/>
          <w:bottom w:w="0" w:type="dxa"/>
          <w:right w:w="5" w:type="dxa"/>
        </w:tblCellMar>
        <w:tblLook w:firstRow="1" w:noVBand="0" w:lastRow="1" w:firstColumn="1" w:lastColumn="1" w:noHBand="0" w:val="01e0"/>
      </w:tblPr>
      <w:tblGrid>
        <w:gridCol w:w="427"/>
        <w:gridCol w:w="1983"/>
        <w:gridCol w:w="993"/>
        <w:gridCol w:w="607"/>
        <w:gridCol w:w="609"/>
        <w:gridCol w:w="607"/>
        <w:gridCol w:w="607"/>
        <w:gridCol w:w="742"/>
        <w:gridCol w:w="606"/>
        <w:gridCol w:w="607"/>
        <w:gridCol w:w="606"/>
        <w:gridCol w:w="603"/>
        <w:gridCol w:w="606"/>
        <w:gridCol w:w="606"/>
        <w:gridCol w:w="748"/>
      </w:tblGrid>
      <w:tr>
        <w:trPr>
          <w:trHeight w:val="613" w:hRule="atLeast"/>
        </w:trPr>
        <w:tc>
          <w:tcPr>
            <w:tcW w:w="427"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60" w:right="51" w:hanging="0"/>
              <w:jc w:val="center"/>
              <w:rPr>
                <w:rFonts w:eastAsia="Times New Roman" w:cs="Calibri" w:cstheme="minorHAnsi"/>
                <w:b/>
                <w:b/>
              </w:rPr>
            </w:pPr>
            <w:r>
              <w:rPr>
                <w:rFonts w:eastAsia="Times New Roman" w:cs="Calibri" w:cstheme="minorHAnsi"/>
                <w:b/>
                <w:kern w:val="0"/>
                <w:sz w:val="22"/>
                <w:szCs w:val="22"/>
                <w:lang w:eastAsia="en-US" w:bidi="ar-SA"/>
              </w:rPr>
              <w:t>Lp.</w:t>
            </w:r>
          </w:p>
        </w:tc>
        <w:tc>
          <w:tcPr>
            <w:tcW w:w="1983"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134" w:hanging="0"/>
              <w:jc w:val="center"/>
              <w:rPr>
                <w:rFonts w:eastAsia="Times New Roman" w:cs="Calibri" w:cstheme="minorHAnsi"/>
                <w:b/>
                <w:b/>
              </w:rPr>
            </w:pPr>
            <w:r>
              <w:rPr>
                <w:rFonts w:eastAsia="Times New Roman" w:cs="Calibri" w:cstheme="minorHAnsi"/>
                <w:b/>
                <w:kern w:val="0"/>
                <w:sz w:val="22"/>
                <w:szCs w:val="22"/>
                <w:lang w:eastAsia="en-US" w:bidi="ar-SA"/>
              </w:rPr>
              <w:t>Nazwa</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strefy</w:t>
            </w:r>
          </w:p>
        </w:tc>
        <w:tc>
          <w:tcPr>
            <w:tcW w:w="993"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76" w:before="69" w:after="0"/>
              <w:ind w:left="177" w:right="156" w:hanging="29"/>
              <w:jc w:val="center"/>
              <w:rPr>
                <w:rFonts w:eastAsia="Times New Roman" w:cs="Calibri" w:cstheme="minorHAnsi"/>
                <w:b/>
                <w:b/>
              </w:rPr>
            </w:pPr>
            <w:r>
              <w:rPr>
                <w:rFonts w:eastAsia="Times New Roman" w:cs="Calibri" w:cstheme="minorHAnsi"/>
                <w:b/>
                <w:kern w:val="0"/>
                <w:sz w:val="22"/>
                <w:szCs w:val="22"/>
                <w:lang w:eastAsia="en-US" w:bidi="ar-SA"/>
              </w:rPr>
              <w:t>Kod</w:t>
            </w:r>
            <w:r>
              <w:rPr>
                <w:rFonts w:eastAsia="Times New Roman" w:cs="Calibri" w:cstheme="minorHAnsi"/>
                <w:b/>
                <w:spacing w:val="1"/>
                <w:kern w:val="0"/>
                <w:sz w:val="22"/>
                <w:szCs w:val="22"/>
                <w:lang w:eastAsia="en-US" w:bidi="ar-SA"/>
              </w:rPr>
              <w:t xml:space="preserve"> </w:t>
            </w:r>
            <w:r>
              <w:rPr>
                <w:rFonts w:eastAsia="Times New Roman" w:cs="Calibri" w:cstheme="minorHAnsi"/>
                <w:b/>
                <w:spacing w:val="-1"/>
                <w:kern w:val="0"/>
                <w:sz w:val="22"/>
                <w:szCs w:val="22"/>
                <w:lang w:eastAsia="en-US" w:bidi="ar-SA"/>
              </w:rPr>
              <w:t>strefy</w:t>
            </w:r>
          </w:p>
        </w:tc>
        <w:tc>
          <w:tcPr>
            <w:tcW w:w="607"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0" w:after="0"/>
              <w:ind w:left="88" w:right="72" w:hanging="0"/>
              <w:jc w:val="center"/>
              <w:rPr>
                <w:rFonts w:eastAsia="Times New Roman" w:cs="Calibri" w:cstheme="minorHAnsi"/>
                <w:b/>
                <w:b/>
              </w:rPr>
            </w:pPr>
            <w:r>
              <w:rPr>
                <w:rFonts w:eastAsia="Times New Roman" w:cs="Calibri" w:cstheme="minorHAnsi"/>
                <w:b/>
                <w:kern w:val="0"/>
                <w:position w:val="1"/>
                <w:sz w:val="22"/>
                <w:szCs w:val="22"/>
                <w:lang w:eastAsia="en-US" w:bidi="ar-SA"/>
              </w:rPr>
              <w:t>SO</w:t>
            </w:r>
            <w:r>
              <w:rPr>
                <w:rFonts w:eastAsia="Times New Roman" w:cs="Calibri" w:cstheme="minorHAnsi"/>
                <w:b/>
                <w:kern w:val="0"/>
                <w:sz w:val="22"/>
                <w:szCs w:val="22"/>
                <w:lang w:eastAsia="en-US" w:bidi="ar-SA"/>
              </w:rPr>
              <w:t>2</w:t>
            </w:r>
          </w:p>
        </w:tc>
        <w:tc>
          <w:tcPr>
            <w:tcW w:w="609"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0" w:after="0"/>
              <w:ind w:left="119" w:right="109" w:hanging="0"/>
              <w:jc w:val="center"/>
              <w:rPr>
                <w:rFonts w:eastAsia="Times New Roman" w:cs="Calibri" w:cstheme="minorHAnsi"/>
                <w:b/>
                <w:b/>
              </w:rPr>
            </w:pPr>
            <w:r>
              <w:rPr>
                <w:rFonts w:eastAsia="Times New Roman" w:cs="Calibri" w:cstheme="minorHAnsi"/>
                <w:b/>
                <w:kern w:val="0"/>
                <w:position w:val="1"/>
                <w:sz w:val="22"/>
                <w:szCs w:val="22"/>
                <w:lang w:eastAsia="en-US" w:bidi="ar-SA"/>
              </w:rPr>
              <w:t>NO</w:t>
            </w:r>
            <w:r>
              <w:rPr>
                <w:rFonts w:eastAsia="Times New Roman" w:cs="Calibri" w:cstheme="minorHAnsi"/>
                <w:b/>
                <w:kern w:val="0"/>
                <w:sz w:val="22"/>
                <w:szCs w:val="22"/>
                <w:lang w:eastAsia="en-US" w:bidi="ar-SA"/>
              </w:rPr>
              <w:t>2</w:t>
            </w:r>
          </w:p>
        </w:tc>
        <w:tc>
          <w:tcPr>
            <w:tcW w:w="607"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0" w:after="0"/>
              <w:ind w:left="88" w:right="78" w:hanging="0"/>
              <w:jc w:val="center"/>
              <w:rPr>
                <w:rFonts w:eastAsia="Times New Roman" w:cs="Calibri" w:cstheme="minorHAnsi"/>
                <w:b/>
                <w:b/>
              </w:rPr>
            </w:pPr>
            <w:r>
              <w:rPr>
                <w:rFonts w:eastAsia="Times New Roman" w:cs="Calibri" w:cstheme="minorHAnsi"/>
                <w:b/>
                <w:kern w:val="0"/>
                <w:position w:val="1"/>
                <w:sz w:val="22"/>
                <w:szCs w:val="22"/>
                <w:lang w:eastAsia="en-US" w:bidi="ar-SA"/>
              </w:rPr>
              <w:t>C</w:t>
            </w:r>
            <w:r>
              <w:rPr>
                <w:rFonts w:eastAsia="Times New Roman" w:cs="Calibri" w:cstheme="minorHAnsi"/>
                <w:b/>
                <w:kern w:val="0"/>
                <w:sz w:val="22"/>
                <w:szCs w:val="22"/>
                <w:lang w:eastAsia="en-US" w:bidi="ar-SA"/>
              </w:rPr>
              <w:t>6</w:t>
            </w:r>
            <w:r>
              <w:rPr>
                <w:rFonts w:eastAsia="Times New Roman" w:cs="Calibri" w:cstheme="minorHAnsi"/>
                <w:b/>
                <w:kern w:val="0"/>
                <w:position w:val="1"/>
                <w:sz w:val="22"/>
                <w:szCs w:val="22"/>
                <w:lang w:eastAsia="en-US" w:bidi="ar-SA"/>
              </w:rPr>
              <w:t>H</w:t>
            </w:r>
            <w:r>
              <w:rPr>
                <w:rFonts w:eastAsia="Times New Roman" w:cs="Calibri" w:cstheme="minorHAnsi"/>
                <w:b/>
                <w:kern w:val="0"/>
                <w:sz w:val="22"/>
                <w:szCs w:val="22"/>
                <w:lang w:eastAsia="en-US" w:bidi="ar-SA"/>
              </w:rPr>
              <w:t>6</w:t>
            </w:r>
          </w:p>
        </w:tc>
        <w:tc>
          <w:tcPr>
            <w:tcW w:w="607"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88" w:right="71" w:hanging="0"/>
              <w:jc w:val="center"/>
              <w:rPr>
                <w:rFonts w:eastAsia="Times New Roman" w:cs="Calibri" w:cstheme="minorHAnsi"/>
                <w:b/>
                <w:b/>
              </w:rPr>
            </w:pPr>
            <w:r>
              <w:rPr>
                <w:rFonts w:eastAsia="Times New Roman" w:cs="Calibri" w:cstheme="minorHAnsi"/>
                <w:b/>
                <w:kern w:val="0"/>
                <w:sz w:val="22"/>
                <w:szCs w:val="22"/>
                <w:lang w:eastAsia="en-US" w:bidi="ar-SA"/>
              </w:rPr>
              <w:t>CO</w:t>
            </w:r>
          </w:p>
        </w:tc>
        <w:tc>
          <w:tcPr>
            <w:tcW w:w="742"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0" w:after="0"/>
              <w:ind w:left="168" w:right="155" w:hanging="0"/>
              <w:jc w:val="center"/>
              <w:rPr>
                <w:rFonts w:eastAsia="Times New Roman" w:cs="Calibri" w:cstheme="minorHAnsi"/>
                <w:b/>
                <w:b/>
              </w:rPr>
            </w:pPr>
            <w:r>
              <w:rPr>
                <w:rFonts w:eastAsia="Times New Roman" w:cs="Calibri" w:cstheme="minorHAnsi"/>
                <w:b/>
                <w:kern w:val="0"/>
                <w:position w:val="1"/>
                <w:sz w:val="22"/>
                <w:szCs w:val="22"/>
                <w:lang w:eastAsia="en-US" w:bidi="ar-SA"/>
              </w:rPr>
              <w:t>O</w:t>
            </w:r>
            <w:r>
              <w:rPr>
                <w:rFonts w:eastAsia="Times New Roman" w:cs="Calibri" w:cstheme="minorHAnsi"/>
                <w:b/>
                <w:kern w:val="0"/>
                <w:sz w:val="22"/>
                <w:szCs w:val="22"/>
                <w:lang w:eastAsia="en-US" w:bidi="ar-SA"/>
              </w:rPr>
              <w:t>3</w:t>
            </w:r>
          </w:p>
        </w:tc>
        <w:tc>
          <w:tcPr>
            <w:tcW w:w="606"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58" w:right="38" w:hanging="0"/>
              <w:jc w:val="center"/>
              <w:rPr>
                <w:rFonts w:eastAsia="Times New Roman" w:cs="Calibri" w:cstheme="minorHAnsi"/>
                <w:b/>
                <w:b/>
              </w:rPr>
            </w:pPr>
            <w:r>
              <w:rPr>
                <w:rFonts w:eastAsia="Times New Roman" w:cs="Calibri" w:cstheme="minorHAnsi"/>
                <w:b/>
                <w:kern w:val="0"/>
                <w:sz w:val="22"/>
                <w:szCs w:val="22"/>
                <w:lang w:eastAsia="en-US" w:bidi="ar-SA"/>
              </w:rPr>
              <w:t>PM10</w:t>
            </w:r>
          </w:p>
        </w:tc>
        <w:tc>
          <w:tcPr>
            <w:tcW w:w="607"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201" w:hanging="0"/>
              <w:jc w:val="center"/>
              <w:rPr>
                <w:rFonts w:eastAsia="Times New Roman" w:cs="Calibri" w:cstheme="minorHAnsi"/>
                <w:b/>
                <w:b/>
              </w:rPr>
            </w:pPr>
            <w:r>
              <w:rPr>
                <w:rFonts w:eastAsia="Times New Roman" w:cs="Calibri" w:cstheme="minorHAnsi"/>
                <w:b/>
                <w:kern w:val="0"/>
                <w:sz w:val="22"/>
                <w:szCs w:val="22"/>
                <w:lang w:eastAsia="en-US" w:bidi="ar-SA"/>
              </w:rPr>
              <w:t>Pb</w:t>
            </w:r>
          </w:p>
        </w:tc>
        <w:tc>
          <w:tcPr>
            <w:tcW w:w="606"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58" w:right="37" w:hanging="0"/>
              <w:jc w:val="center"/>
              <w:rPr>
                <w:rFonts w:eastAsia="Times New Roman" w:cs="Calibri" w:cstheme="minorHAnsi"/>
                <w:b/>
                <w:b/>
              </w:rPr>
            </w:pPr>
            <w:r>
              <w:rPr>
                <w:rFonts w:eastAsia="Times New Roman" w:cs="Calibri" w:cstheme="minorHAnsi"/>
                <w:b/>
                <w:kern w:val="0"/>
                <w:sz w:val="22"/>
                <w:szCs w:val="22"/>
                <w:lang w:eastAsia="en-US" w:bidi="ar-SA"/>
              </w:rPr>
              <w:t>As</w:t>
            </w:r>
          </w:p>
        </w:tc>
        <w:tc>
          <w:tcPr>
            <w:tcW w:w="603"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193" w:hanging="0"/>
              <w:jc w:val="center"/>
              <w:rPr>
                <w:rFonts w:eastAsia="Times New Roman" w:cs="Calibri" w:cstheme="minorHAnsi"/>
                <w:b/>
                <w:b/>
              </w:rPr>
            </w:pPr>
            <w:r>
              <w:rPr>
                <w:rFonts w:eastAsia="Times New Roman" w:cs="Calibri" w:cstheme="minorHAnsi"/>
                <w:b/>
                <w:kern w:val="0"/>
                <w:sz w:val="22"/>
                <w:szCs w:val="22"/>
                <w:lang w:eastAsia="en-US" w:bidi="ar-SA"/>
              </w:rPr>
              <w:t>Cd</w:t>
            </w:r>
          </w:p>
        </w:tc>
        <w:tc>
          <w:tcPr>
            <w:tcW w:w="606"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58" w:right="34" w:hanging="0"/>
              <w:jc w:val="center"/>
              <w:rPr>
                <w:rFonts w:eastAsia="Times New Roman" w:cs="Calibri" w:cstheme="minorHAnsi"/>
                <w:b/>
                <w:b/>
              </w:rPr>
            </w:pPr>
            <w:r>
              <w:rPr>
                <w:rFonts w:eastAsia="Times New Roman" w:cs="Calibri" w:cstheme="minorHAnsi"/>
                <w:b/>
                <w:kern w:val="0"/>
                <w:sz w:val="22"/>
                <w:szCs w:val="22"/>
                <w:lang w:eastAsia="en-US" w:bidi="ar-SA"/>
              </w:rPr>
              <w:t>Ni</w:t>
            </w:r>
          </w:p>
        </w:tc>
        <w:tc>
          <w:tcPr>
            <w:tcW w:w="606"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58" w:right="29" w:hanging="0"/>
              <w:jc w:val="center"/>
              <w:rPr>
                <w:rFonts w:eastAsia="Times New Roman" w:cs="Calibri" w:cstheme="minorHAnsi"/>
                <w:b/>
                <w:b/>
              </w:rPr>
            </w:pPr>
            <w:r>
              <w:rPr>
                <w:rFonts w:eastAsia="Times New Roman" w:cs="Calibri" w:cstheme="minorHAnsi"/>
                <w:b/>
                <w:kern w:val="0"/>
                <w:sz w:val="22"/>
                <w:szCs w:val="22"/>
                <w:lang w:eastAsia="en-US" w:bidi="ar-SA"/>
              </w:rPr>
              <w:t>B(a)P</w:t>
            </w:r>
          </w:p>
        </w:tc>
        <w:tc>
          <w:tcPr>
            <w:tcW w:w="748" w:type="dxa"/>
            <w:tcBorders>
              <w:top w:val="single" w:sz="4" w:space="0" w:color="000000"/>
              <w:left w:val="single" w:sz="4" w:space="0" w:color="000000"/>
              <w:bottom w:val="single" w:sz="4" w:space="0" w:color="000000"/>
              <w:right w:val="single" w:sz="4" w:space="0" w:color="000000"/>
            </w:tcBorders>
            <w:shd w:color="auto" w:fill="D9E1F3" w:val="clear"/>
          </w:tcPr>
          <w:p>
            <w:pPr>
              <w:pStyle w:val="Normal"/>
              <w:widowControl w:val="false"/>
              <w:spacing w:lineRule="auto" w:line="240" w:before="2"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1" w:after="0"/>
              <w:ind w:left="112" w:right="80" w:hanging="0"/>
              <w:jc w:val="center"/>
              <w:rPr>
                <w:rFonts w:eastAsia="Times New Roman" w:cs="Calibri" w:cstheme="minorHAnsi"/>
                <w:b/>
                <w:b/>
              </w:rPr>
            </w:pPr>
            <w:r>
              <w:rPr>
                <w:rFonts w:eastAsia="Times New Roman" w:cs="Calibri" w:cstheme="minorHAnsi"/>
                <w:b/>
                <w:kern w:val="0"/>
                <w:sz w:val="22"/>
                <w:szCs w:val="22"/>
                <w:lang w:eastAsia="en-US" w:bidi="ar-SA"/>
              </w:rPr>
              <w:t>PM2,5</w:t>
            </w:r>
          </w:p>
        </w:tc>
      </w:tr>
      <w:tr>
        <w:trPr>
          <w:trHeight w:val="364" w:hRule="atLeast"/>
        </w:trPr>
        <w:tc>
          <w:tcPr>
            <w:tcW w:w="4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8" w:hanging="0"/>
              <w:jc w:val="center"/>
              <w:rPr>
                <w:rFonts w:eastAsia="Times New Roman" w:cs="Calibri" w:cstheme="minorHAnsi"/>
              </w:rPr>
            </w:pPr>
            <w:r>
              <w:rPr>
                <w:rFonts w:eastAsia="Times New Roman" w:cs="Calibri" w:cstheme="minorHAnsi"/>
                <w:kern w:val="0"/>
                <w:sz w:val="22"/>
                <w:szCs w:val="22"/>
                <w:lang w:eastAsia="en-US" w:bidi="ar-SA"/>
              </w:rPr>
              <w:t>1</w:t>
            </w:r>
          </w:p>
        </w:tc>
        <w:tc>
          <w:tcPr>
            <w:tcW w:w="19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69" w:hanging="0"/>
              <w:jc w:val="center"/>
              <w:rPr>
                <w:rFonts w:eastAsia="Times New Roman" w:cs="Calibri" w:cstheme="minorHAnsi"/>
              </w:rPr>
            </w:pPr>
            <w:r>
              <w:rPr>
                <w:rFonts w:eastAsia="Times New Roman" w:cs="Calibri" w:cstheme="minorHAnsi"/>
                <w:kern w:val="0"/>
                <w:sz w:val="22"/>
                <w:szCs w:val="22"/>
                <w:lang w:eastAsia="en-US" w:bidi="ar-SA"/>
              </w:rPr>
              <w:t>miasto</w:t>
            </w:r>
            <w:r>
              <w:rPr>
                <w:rFonts w:eastAsia="Times New Roman" w:cs="Calibri" w:cstheme="minorHAnsi"/>
                <w:spacing w:val="-1"/>
                <w:kern w:val="0"/>
                <w:sz w:val="22"/>
                <w:szCs w:val="22"/>
                <w:lang w:eastAsia="en-US" w:bidi="ar-SA"/>
              </w:rPr>
              <w:t xml:space="preserve"> </w:t>
            </w:r>
            <w:r>
              <w:rPr>
                <w:rFonts w:eastAsia="Times New Roman" w:cs="Calibri" w:cstheme="minorHAnsi"/>
                <w:kern w:val="0"/>
                <w:sz w:val="22"/>
                <w:szCs w:val="22"/>
                <w:lang w:eastAsia="en-US" w:bidi="ar-SA"/>
              </w:rPr>
              <w:t>Kielce</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69" w:hanging="0"/>
              <w:jc w:val="center"/>
              <w:rPr>
                <w:rFonts w:eastAsia="Times New Roman" w:cs="Calibri" w:cstheme="minorHAnsi"/>
              </w:rPr>
            </w:pPr>
            <w:r>
              <w:rPr>
                <w:rFonts w:eastAsia="Times New Roman" w:cs="Calibri" w:cstheme="minorHAnsi"/>
                <w:kern w:val="0"/>
                <w:sz w:val="22"/>
                <w:szCs w:val="22"/>
                <w:lang w:eastAsia="en-US" w:bidi="ar-SA"/>
              </w:rPr>
              <w:t>PL2601</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14"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12"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11"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17"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7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58" w:after="0"/>
              <w:ind w:left="168" w:right="156" w:hanging="0"/>
              <w:jc w:val="center"/>
              <w:rPr>
                <w:rFonts w:eastAsia="Times New Roman" w:cs="Calibri" w:cstheme="minorHAnsi"/>
              </w:rPr>
            </w:pPr>
            <w:r>
              <w:rPr>
                <w:rFonts w:eastAsia="Times New Roman" w:cs="Calibri" w:cstheme="minorHAnsi"/>
                <w:kern w:val="0"/>
                <w:position w:val="-5"/>
                <w:sz w:val="22"/>
                <w:szCs w:val="22"/>
                <w:lang w:eastAsia="en-US" w:bidi="ar-SA"/>
              </w:rPr>
              <w:t>A</w:t>
            </w:r>
            <w:r>
              <w:rPr>
                <w:rFonts w:eastAsia="Times New Roman" w:cs="Calibri" w:cstheme="minorHAnsi"/>
                <w:kern w:val="0"/>
                <w:sz w:val="22"/>
                <w:szCs w:val="22"/>
                <w:vertAlign w:val="superscript"/>
                <w:lang w:eastAsia="en-US" w:bidi="ar-SA"/>
              </w:rPr>
              <w:t>1)</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20"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241"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19"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243"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23" w:hanging="0"/>
              <w:jc w:val="center"/>
              <w:rPr>
                <w:rFonts w:eastAsia="Times New Roman" w:cs="Calibri" w:cstheme="minorHAnsi"/>
              </w:rPr>
            </w:pPr>
            <w:r>
              <w:rPr>
                <w:rFonts w:eastAsia="Times New Roman" w:cs="Calibri" w:cstheme="minorHAnsi"/>
                <w:w w:val="99"/>
                <w:kern w:val="0"/>
                <w:sz w:val="22"/>
                <w:szCs w:val="22"/>
                <w:lang w:eastAsia="en-US" w:bidi="ar-SA"/>
              </w:rPr>
              <w:t>A</w:t>
            </w:r>
          </w:p>
        </w:tc>
        <w:tc>
          <w:tcPr>
            <w:tcW w:w="606" w:type="dxa"/>
            <w:tcBorders>
              <w:top w:val="single" w:sz="4" w:space="0" w:color="000000"/>
              <w:left w:val="single" w:sz="4" w:space="0" w:color="000000"/>
              <w:bottom w:val="single" w:sz="4" w:space="0" w:color="000000"/>
              <w:right w:val="single" w:sz="4" w:space="0" w:color="000000"/>
            </w:tcBorders>
            <w:shd w:color="auto" w:fill="FF0000" w:val="clear"/>
          </w:tcPr>
          <w:p>
            <w:pPr>
              <w:pStyle w:val="Normal"/>
              <w:widowControl w:val="false"/>
              <w:spacing w:lineRule="auto" w:line="240" w:before="62" w:after="0"/>
              <w:ind w:left="25" w:hanging="0"/>
              <w:jc w:val="center"/>
              <w:rPr>
                <w:rFonts w:eastAsia="Times New Roman" w:cs="Calibri" w:cstheme="minorHAnsi"/>
                <w:b/>
                <w:b/>
              </w:rPr>
            </w:pPr>
            <w:r>
              <w:rPr>
                <w:rFonts w:eastAsia="Times New Roman" w:cs="Calibri" w:cstheme="minorHAnsi"/>
                <w:b/>
                <w:w w:val="99"/>
                <w:kern w:val="0"/>
                <w:sz w:val="22"/>
                <w:szCs w:val="22"/>
                <w:lang w:eastAsia="en-US" w:bidi="ar-SA"/>
              </w:rPr>
              <w:t>C</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62" w:after="0"/>
              <w:ind w:left="105" w:right="80" w:hanging="0"/>
              <w:jc w:val="center"/>
              <w:rPr>
                <w:rFonts w:eastAsia="Times New Roman" w:cs="Calibri" w:cstheme="minorHAnsi"/>
              </w:rPr>
            </w:pPr>
            <w:r>
              <w:rPr>
                <w:rFonts w:eastAsia="Times New Roman" w:cs="Calibri" w:cstheme="minorHAnsi"/>
                <w:kern w:val="0"/>
                <w:sz w:val="22"/>
                <w:szCs w:val="22"/>
                <w:lang w:eastAsia="en-US" w:bidi="ar-SA"/>
              </w:rPr>
              <w:t>A1</w:t>
            </w:r>
          </w:p>
        </w:tc>
      </w:tr>
      <w:tr>
        <w:trPr>
          <w:trHeight w:val="474" w:hRule="atLeast"/>
        </w:trPr>
        <w:tc>
          <w:tcPr>
            <w:tcW w:w="4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8" w:hanging="0"/>
              <w:jc w:val="center"/>
              <w:rPr>
                <w:rFonts w:eastAsia="Times New Roman" w:cs="Calibri" w:cstheme="minorHAnsi"/>
                <w:sz w:val="20"/>
                <w:szCs w:val="20"/>
              </w:rPr>
            </w:pPr>
            <w:r>
              <w:rPr>
                <w:rFonts w:eastAsia="Times New Roman" w:cs="Calibri" w:cstheme="minorHAnsi"/>
                <w:kern w:val="0"/>
                <w:sz w:val="20"/>
                <w:szCs w:val="20"/>
                <w:lang w:eastAsia="en-US" w:bidi="ar-SA"/>
              </w:rPr>
              <w:t>2</w:t>
            </w:r>
          </w:p>
        </w:tc>
        <w:tc>
          <w:tcPr>
            <w:tcW w:w="19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7" w:before="0" w:after="0"/>
              <w:ind w:left="69" w:hanging="0"/>
              <w:jc w:val="center"/>
              <w:rPr>
                <w:rFonts w:eastAsia="Times New Roman" w:cs="Calibri" w:cstheme="minorHAnsi"/>
                <w:sz w:val="20"/>
                <w:szCs w:val="20"/>
              </w:rPr>
            </w:pPr>
            <w:r>
              <w:rPr>
                <w:rFonts w:eastAsia="Times New Roman" w:cs="Calibri" w:cstheme="minorHAnsi"/>
                <w:kern w:val="0"/>
                <w:sz w:val="20"/>
                <w:szCs w:val="20"/>
                <w:lang w:eastAsia="en-US" w:bidi="ar-SA"/>
              </w:rPr>
              <w:t>strefa</w:t>
            </w:r>
          </w:p>
          <w:p>
            <w:pPr>
              <w:pStyle w:val="Normal"/>
              <w:widowControl w:val="false"/>
              <w:spacing w:lineRule="auto" w:line="240" w:before="30" w:after="0"/>
              <w:ind w:left="69" w:hanging="0"/>
              <w:jc w:val="center"/>
              <w:rPr>
                <w:rFonts w:eastAsia="Times New Roman" w:cs="Calibri" w:cstheme="minorHAnsi"/>
                <w:sz w:val="20"/>
                <w:szCs w:val="20"/>
              </w:rPr>
            </w:pPr>
            <w:r>
              <w:rPr>
                <w:rFonts w:eastAsia="Times New Roman" w:cs="Calibri" w:cstheme="minorHAnsi"/>
                <w:kern w:val="0"/>
                <w:sz w:val="20"/>
                <w:szCs w:val="20"/>
                <w:lang w:eastAsia="en-US" w:bidi="ar-SA"/>
              </w:rPr>
              <w:t>świętokrzyska</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69" w:hanging="0"/>
              <w:jc w:val="center"/>
              <w:rPr>
                <w:rFonts w:eastAsia="Times New Roman" w:cs="Calibri" w:cstheme="minorHAnsi"/>
                <w:sz w:val="20"/>
                <w:szCs w:val="20"/>
              </w:rPr>
            </w:pPr>
            <w:r>
              <w:rPr>
                <w:rFonts w:eastAsia="Times New Roman" w:cs="Calibri" w:cstheme="minorHAnsi"/>
                <w:kern w:val="0"/>
                <w:sz w:val="20"/>
                <w:szCs w:val="20"/>
                <w:lang w:eastAsia="en-US" w:bidi="ar-SA"/>
              </w:rPr>
              <w:t>PL2602</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14"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12"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11"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17"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7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3" w:after="0"/>
              <w:ind w:left="168" w:right="156" w:hanging="0"/>
              <w:jc w:val="center"/>
              <w:rPr>
                <w:rFonts w:eastAsia="Times New Roman" w:cs="Calibri" w:cstheme="minorHAnsi"/>
                <w:sz w:val="20"/>
                <w:szCs w:val="20"/>
              </w:rPr>
            </w:pPr>
            <w:r>
              <w:rPr>
                <w:rFonts w:eastAsia="Times New Roman" w:cs="Calibri" w:cstheme="minorHAnsi"/>
                <w:kern w:val="0"/>
                <w:position w:val="-5"/>
                <w:sz w:val="20"/>
                <w:szCs w:val="20"/>
                <w:lang w:eastAsia="en-US" w:bidi="ar-SA"/>
              </w:rPr>
              <w:t>A</w:t>
            </w:r>
            <w:r>
              <w:rPr>
                <w:rFonts w:eastAsia="Times New Roman" w:cs="Calibri" w:cstheme="minorHAnsi"/>
                <w:kern w:val="0"/>
                <w:sz w:val="20"/>
                <w:szCs w:val="20"/>
                <w:vertAlign w:val="superscript"/>
                <w:lang w:eastAsia="en-US" w:bidi="ar-SA"/>
              </w:rPr>
              <w:t>1)</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20"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241"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19"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243"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23" w:hanging="0"/>
              <w:jc w:val="center"/>
              <w:rPr>
                <w:rFonts w:eastAsia="Times New Roman" w:cs="Calibri" w:cstheme="minorHAnsi"/>
                <w:sz w:val="20"/>
                <w:szCs w:val="20"/>
              </w:rPr>
            </w:pPr>
            <w:r>
              <w:rPr>
                <w:rFonts w:eastAsia="Times New Roman" w:cs="Calibri" w:cstheme="minorHAnsi"/>
                <w:w w:val="99"/>
                <w:kern w:val="0"/>
                <w:sz w:val="20"/>
                <w:szCs w:val="20"/>
                <w:lang w:eastAsia="en-US" w:bidi="ar-SA"/>
              </w:rPr>
              <w:t>A</w:t>
            </w:r>
          </w:p>
        </w:tc>
        <w:tc>
          <w:tcPr>
            <w:tcW w:w="606" w:type="dxa"/>
            <w:tcBorders>
              <w:top w:val="single" w:sz="4" w:space="0" w:color="000000"/>
              <w:left w:val="single" w:sz="4" w:space="0" w:color="000000"/>
              <w:bottom w:val="single" w:sz="4" w:space="0" w:color="000000"/>
              <w:right w:val="single" w:sz="4" w:space="0" w:color="000000"/>
            </w:tcBorders>
            <w:shd w:color="auto" w:fill="FF0000" w:val="clear"/>
          </w:tcPr>
          <w:p>
            <w:pPr>
              <w:pStyle w:val="Normal"/>
              <w:widowControl w:val="false"/>
              <w:spacing w:lineRule="auto" w:line="240" w:before="117" w:after="0"/>
              <w:ind w:left="25" w:hanging="0"/>
              <w:jc w:val="center"/>
              <w:rPr>
                <w:rFonts w:eastAsia="Times New Roman" w:cs="Calibri" w:cstheme="minorHAnsi"/>
                <w:b/>
                <w:b/>
                <w:sz w:val="20"/>
                <w:szCs w:val="20"/>
              </w:rPr>
            </w:pPr>
            <w:r>
              <w:rPr>
                <w:rFonts w:eastAsia="Times New Roman" w:cs="Calibri" w:cstheme="minorHAnsi"/>
                <w:b/>
                <w:w w:val="99"/>
                <w:kern w:val="0"/>
                <w:sz w:val="20"/>
                <w:szCs w:val="20"/>
                <w:lang w:eastAsia="en-US" w:bidi="ar-SA"/>
              </w:rPr>
              <w:t>C</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17" w:after="0"/>
              <w:ind w:left="105" w:right="80" w:hanging="0"/>
              <w:jc w:val="center"/>
              <w:rPr>
                <w:rFonts w:eastAsia="Times New Roman" w:cs="Calibri" w:cstheme="minorHAnsi"/>
                <w:sz w:val="20"/>
                <w:szCs w:val="20"/>
              </w:rPr>
            </w:pPr>
            <w:r>
              <w:rPr>
                <w:rFonts w:eastAsia="Times New Roman" w:cs="Calibri" w:cstheme="minorHAnsi"/>
                <w:kern w:val="0"/>
                <w:sz w:val="20"/>
                <w:szCs w:val="20"/>
                <w:lang w:eastAsia="en-US" w:bidi="ar-SA"/>
              </w:rPr>
              <w:t>A1</w:t>
            </w:r>
          </w:p>
        </w:tc>
      </w:tr>
    </w:tbl>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Źródło:</w:t>
      </w:r>
      <w:r>
        <w:rPr>
          <w:rFonts w:cs="Calibri" w:cstheme="minorHAnsi"/>
          <w:sz w:val="20"/>
          <w:szCs w:val="20"/>
        </w:rPr>
        <w:t xml:space="preserve"> </w:t>
      </w:r>
      <w:r>
        <w:rPr>
          <w:rFonts w:eastAsia="Arimo" w:cs="Calibri" w:cstheme="minorHAnsi"/>
          <w:sz w:val="20"/>
          <w:szCs w:val="20"/>
        </w:rPr>
        <w:t xml:space="preserve">Roczna ocena jakości powietrza w województwie świętokrzyskim </w:t>
      </w:r>
    </w:p>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(raport wojewódzki za rok 2020)</w:t>
      </w:r>
    </w:p>
    <w:p>
      <w:pPr>
        <w:pStyle w:val="Normal"/>
        <w:spacing w:lineRule="auto" w:line="240" w:before="0" w:after="0"/>
        <w:rPr>
          <w:rFonts w:cs="Calibri" w:cstheme="minorHAnsi"/>
        </w:rPr>
      </w:pPr>
      <w:r>
        <w:rPr>
          <w:rFonts w:cs="Calibri" w:cstheme="minorHAnsi"/>
        </w:rPr>
      </w:r>
    </w:p>
    <w:p>
      <w:pPr>
        <w:pStyle w:val="Normal"/>
        <w:spacing w:lineRule="auto" w:line="240" w:before="0" w:after="0"/>
        <w:jc w:val="both"/>
        <w:rPr>
          <w:rFonts w:eastAsia="Times New Roman" w:cs="Calibri" w:cstheme="minorHAnsi"/>
          <w:lang w:eastAsia="pl-PL"/>
        </w:rPr>
      </w:pPr>
      <w:r>
        <w:rPr>
          <w:rFonts w:eastAsia="Times New Roman" w:cs="Calibri" w:cstheme="minorHAnsi"/>
          <w:lang w:eastAsia="pl-PL"/>
        </w:rPr>
        <w:t>Dla ozonu – poziom celu długoterminowego, strefy uzyskały klasę D2</w:t>
      </w:r>
    </w:p>
    <w:p>
      <w:pPr>
        <w:pStyle w:val="Normal"/>
        <w:spacing w:lineRule="auto" w:line="240" w:before="0" w:after="0"/>
        <w:jc w:val="both"/>
        <w:rPr>
          <w:rFonts w:eastAsia="Times New Roman" w:cs="Calibri" w:cstheme="minorHAnsi"/>
          <w:b/>
          <w:b/>
          <w:bCs/>
          <w:lang w:eastAsia="pl-PL"/>
        </w:rPr>
      </w:pPr>
      <w:r>
        <w:rPr>
          <w:rFonts w:eastAsia="Times New Roman" w:cs="Calibri" w:cstheme="minorHAnsi"/>
          <w:b/>
          <w:bCs/>
          <w:lang w:eastAsia="pl-PL"/>
        </w:rPr>
      </w:r>
    </w:p>
    <w:p>
      <w:pPr>
        <w:pStyle w:val="Normal"/>
        <w:suppressAutoHyphens w:val="true"/>
        <w:snapToGrid w:val="false"/>
        <w:spacing w:lineRule="auto" w:line="240" w:before="0" w:after="0"/>
        <w:jc w:val="both"/>
        <w:rPr>
          <w:rFonts w:ascii="Calibri" w:hAnsi="Calibri" w:eastAsia="Times New Roman" w:cs="Times New Roman"/>
          <w:b/>
          <w:b/>
          <w:bCs/>
          <w:color w:val="000000"/>
          <w:u w:val="single"/>
          <w:lang w:eastAsia="ar-SA"/>
        </w:rPr>
      </w:pPr>
      <w:r>
        <w:rPr>
          <w:rFonts w:eastAsia="Times New Roman" w:cs="Times New Roman"/>
          <w:b/>
          <w:bCs/>
          <w:color w:val="000000"/>
          <w:u w:val="single"/>
          <w:lang w:eastAsia="ar-SA"/>
        </w:rPr>
        <w:t>Wyniki oceny</w:t>
      </w:r>
      <w:r>
        <w:rPr>
          <w:rFonts w:eastAsia="Times New Roman" w:cs="Calibri" w:cstheme="minorHAnsi"/>
          <w:b/>
          <w:bCs/>
          <w:color w:val="000000"/>
          <w:u w:val="single"/>
          <w:lang w:eastAsia="pl-PL"/>
        </w:rPr>
        <w:t xml:space="preserve"> </w:t>
      </w:r>
      <w:r>
        <w:rPr>
          <w:rFonts w:eastAsia="Times New Roman" w:cs="Times New Roman"/>
          <w:b/>
          <w:bCs/>
          <w:color w:val="000000"/>
          <w:u w:val="single"/>
          <w:lang w:eastAsia="ar-SA"/>
        </w:rPr>
        <w:t>dokonywanej pod kątem spełnienia kryteriów określonych w celu ochrony roślin</w:t>
      </w:r>
    </w:p>
    <w:p>
      <w:pPr>
        <w:pStyle w:val="Normal"/>
        <w:suppressAutoHyphens w:val="true"/>
        <w:snapToGrid w:val="false"/>
        <w:spacing w:lineRule="auto" w:line="240" w:before="0" w:after="0"/>
        <w:jc w:val="both"/>
        <w:rPr>
          <w:rFonts w:ascii="Calibri" w:hAnsi="Calibri" w:eastAsia="Arimo" w:cs="Calibri" w:cstheme="minorHAnsi"/>
          <w:b/>
          <w:b/>
          <w:bCs/>
          <w:lang w:eastAsia="ar-SA"/>
        </w:rPr>
      </w:pPr>
      <w:r>
        <w:rPr>
          <w:rFonts w:eastAsia="Arimo" w:cs="Calibri" w:cstheme="minorHAnsi"/>
          <w:b/>
          <w:bCs/>
          <w:lang w:eastAsia="ar-SA"/>
        </w:rPr>
      </w:r>
    </w:p>
    <w:p>
      <w:pPr>
        <w:pStyle w:val="Normal"/>
        <w:spacing w:lineRule="auto" w:line="240" w:before="0" w:after="0"/>
        <w:jc w:val="both"/>
        <w:rPr>
          <w:rFonts w:cs="Calibri" w:cstheme="minorHAnsi"/>
          <w:lang w:eastAsia="pl-PL"/>
        </w:rPr>
      </w:pPr>
      <w:r>
        <w:rPr>
          <w:rFonts w:cs="Calibri" w:cstheme="minorHAnsi"/>
          <w:lang w:eastAsia="pl-PL"/>
        </w:rPr>
        <w:t xml:space="preserve">Analizując wyniki oceny rocznej i klasyfikacji stref dla kryterium ochrony roślin, </w:t>
      </w:r>
      <w:r>
        <w:rPr>
          <w:rFonts w:cs="Calibri" w:cstheme="minorHAnsi"/>
          <w:b/>
          <w:bCs/>
          <w:lang w:eastAsia="pl-PL"/>
        </w:rPr>
        <w:t>strefę świętokrzyską</w:t>
      </w:r>
      <w:r>
        <w:rPr>
          <w:rFonts w:cs="Calibri" w:cstheme="minorHAnsi"/>
          <w:lang w:eastAsia="pl-PL"/>
        </w:rPr>
        <w:t xml:space="preserve"> pod względem dotrzymania </w:t>
      </w:r>
      <w:r>
        <w:rPr>
          <w:rFonts w:cs="Calibri" w:cstheme="minorHAnsi"/>
          <w:b/>
          <w:bCs/>
          <w:lang w:eastAsia="pl-PL"/>
        </w:rPr>
        <w:t>wartości dopuszczalnych dla NOX, SO2 i poziomu docelowego ozonu zakwalifikowano do klasy A</w:t>
      </w:r>
      <w:r>
        <w:rPr>
          <w:rFonts w:cs="Calibri" w:cstheme="minorHAnsi"/>
          <w:lang w:eastAsia="pl-PL"/>
        </w:rPr>
        <w:t xml:space="preserve">. Natomiast z uwagi na </w:t>
      </w:r>
      <w:r>
        <w:rPr>
          <w:rFonts w:cs="Calibri" w:cstheme="minorHAnsi"/>
          <w:b/>
          <w:bCs/>
          <w:lang w:eastAsia="pl-PL"/>
        </w:rPr>
        <w:t>przekroczenie poziomu celu długoterminowego ozonu</w:t>
      </w:r>
      <w:r>
        <w:rPr>
          <w:rFonts w:cs="Calibri" w:cstheme="minorHAnsi"/>
          <w:lang w:eastAsia="pl-PL"/>
        </w:rPr>
        <w:t xml:space="preserve">, strefę świętokrzyską </w:t>
      </w:r>
      <w:r>
        <w:rPr>
          <w:rFonts w:cs="Calibri" w:cstheme="minorHAnsi"/>
          <w:b/>
          <w:bCs/>
          <w:lang w:eastAsia="pl-PL"/>
        </w:rPr>
        <w:t>zaliczono do klasy D2</w:t>
      </w:r>
      <w:r>
        <w:rPr>
          <w:rFonts w:cs="Calibri" w:cstheme="minorHAnsi"/>
          <w:lang w:eastAsia="pl-PL"/>
        </w:rPr>
        <w:t xml:space="preserve">. Ogólne wyniki klasyfikacji stref w województwie świętokrzyskim ze względu na ochronę roślin przedstawiono w tabeli poniżej. </w:t>
      </w:r>
    </w:p>
    <w:p>
      <w:pPr>
        <w:pStyle w:val="Normal"/>
        <w:spacing w:lineRule="auto" w:line="240" w:before="0" w:after="0"/>
        <w:jc w:val="both"/>
        <w:rPr>
          <w:rFonts w:cs="Calibri" w:cstheme="minorHAnsi"/>
          <w:color w:val="FF0000"/>
          <w:lang w:eastAsia="pl-PL"/>
        </w:rPr>
      </w:pPr>
      <w:r>
        <w:rPr>
          <w:rFonts w:cs="Calibri" w:cstheme="minorHAnsi"/>
          <w:color w:val="FF0000"/>
          <w:lang w:eastAsia="pl-PL"/>
        </w:rPr>
      </w:r>
    </w:p>
    <w:p>
      <w:pPr>
        <w:pStyle w:val="Normal"/>
        <w:spacing w:lineRule="auto" w:line="240" w:before="0" w:after="0"/>
        <w:jc w:val="center"/>
        <w:rPr>
          <w:rFonts w:cs="Calibri" w:cstheme="minorHAnsi"/>
          <w:i/>
          <w:i/>
          <w:iCs/>
          <w:sz w:val="20"/>
          <w:szCs w:val="20"/>
        </w:rPr>
      </w:pPr>
      <w:bookmarkStart w:id="51" w:name="_Toc118887756"/>
      <w:bookmarkStart w:id="52" w:name="_Toc114224871"/>
      <w:bookmarkStart w:id="53" w:name="_Toc113967493"/>
      <w:r>
        <w:rPr>
          <w:rFonts w:cs="Calibri" w:cstheme="minorHAnsi"/>
          <w:sz w:val="20"/>
          <w:szCs w:val="20"/>
        </w:rPr>
        <w:t xml:space="preserve">Tabela </w:t>
      </w:r>
      <w:r>
        <w:rPr>
          <w:rFonts w:cs="Calibri" w:cstheme="minorHAnsi"/>
          <w:b/>
          <w:bCs/>
          <w:sz w:val="20"/>
          <w:szCs w:val="20"/>
        </w:rPr>
        <w:fldChar w:fldCharType="begin"/>
      </w:r>
      <w:r>
        <w:rPr>
          <w:sz w:val="20"/>
          <w:b/>
          <w:szCs w:val="20"/>
          <w:bCs/>
          <w:rFonts w:cs="Calibri"/>
        </w:rPr>
        <w:instrText xml:space="preserve"> SEQ Tabela \* ARABIC </w:instrText>
      </w:r>
      <w:r>
        <w:rPr>
          <w:sz w:val="20"/>
          <w:b/>
          <w:szCs w:val="20"/>
          <w:bCs/>
          <w:rFonts w:cs="Calibri"/>
        </w:rPr>
        <w:fldChar w:fldCharType="separate"/>
      </w:r>
      <w:r>
        <w:rPr>
          <w:sz w:val="20"/>
          <w:b/>
          <w:szCs w:val="20"/>
          <w:bCs/>
          <w:rFonts w:cs="Calibri"/>
        </w:rPr>
        <w:t>7</w:t>
      </w:r>
      <w:r>
        <w:rPr>
          <w:sz w:val="20"/>
          <w:b/>
          <w:szCs w:val="20"/>
          <w:bCs/>
          <w:rFonts w:cs="Calibri"/>
        </w:rPr>
        <w:fldChar w:fldCharType="end"/>
      </w:r>
      <w:r>
        <w:rPr>
          <w:rFonts w:cs="Calibri" w:cstheme="minorHAnsi"/>
          <w:sz w:val="20"/>
          <w:szCs w:val="20"/>
        </w:rPr>
        <w:t xml:space="preserve"> Klasy stref dla poszczególnych zanieczyszczeń, uzyskane w ocenie rocznej dokonanej </w:t>
        <w:br/>
        <w:t>z uwzględnieniem kryteriów ustanowionych w celu ochrony roślin - klasyfikacja podstawowa (klasy: A, C)</w:t>
      </w:r>
      <w:bookmarkEnd w:id="51"/>
      <w:bookmarkEnd w:id="52"/>
      <w:bookmarkEnd w:id="53"/>
    </w:p>
    <w:tbl>
      <w:tblPr>
        <w:tblStyle w:val="TableNormal"/>
        <w:tblW w:w="6834" w:type="dxa"/>
        <w:jc w:val="left"/>
        <w:tblInd w:w="1478" w:type="dxa"/>
        <w:tblLayout w:type="fixed"/>
        <w:tblCellMar>
          <w:top w:w="0" w:type="dxa"/>
          <w:left w:w="5" w:type="dxa"/>
          <w:bottom w:w="0" w:type="dxa"/>
          <w:right w:w="5" w:type="dxa"/>
        </w:tblCellMar>
        <w:tblLook w:firstRow="1" w:noVBand="0" w:lastRow="1" w:firstColumn="1" w:lastColumn="1" w:noHBand="0" w:val="01e0"/>
      </w:tblPr>
      <w:tblGrid>
        <w:gridCol w:w="496"/>
        <w:gridCol w:w="1984"/>
        <w:gridCol w:w="1202"/>
        <w:gridCol w:w="946"/>
        <w:gridCol w:w="1260"/>
        <w:gridCol w:w="945"/>
      </w:tblGrid>
      <w:tr>
        <w:trPr>
          <w:trHeight w:val="462" w:hRule="atLeast"/>
        </w:trPr>
        <w:tc>
          <w:tcPr>
            <w:tcW w:w="49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101" w:after="0"/>
              <w:ind w:left="5" w:hanging="0"/>
              <w:jc w:val="center"/>
              <w:rPr>
                <w:rFonts w:eastAsia="Times New Roman" w:cs="Calibri" w:cstheme="minorHAnsi"/>
                <w:w w:val="99"/>
                <w:lang w:val="en-US"/>
              </w:rPr>
            </w:pPr>
            <w:r>
              <w:rPr>
                <w:rFonts w:eastAsia="Times New Roman" w:cs="Calibri" w:cstheme="minorHAnsi"/>
                <w:b/>
                <w:kern w:val="0"/>
                <w:sz w:val="22"/>
                <w:szCs w:val="22"/>
                <w:lang w:eastAsia="en-US" w:bidi="ar-SA"/>
              </w:rPr>
              <w:t>L.p.</w:t>
            </w:r>
          </w:p>
        </w:tc>
        <w:tc>
          <w:tcPr>
            <w:tcW w:w="198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101" w:after="0"/>
              <w:ind w:left="69" w:hanging="0"/>
              <w:jc w:val="left"/>
              <w:rPr>
                <w:rFonts w:eastAsia="Times New Roman" w:cs="Calibri" w:cstheme="minorHAnsi"/>
                <w:lang w:val="en-US"/>
              </w:rPr>
            </w:pPr>
            <w:r>
              <w:rPr>
                <w:rFonts w:eastAsia="Times New Roman" w:cs="Calibri" w:cstheme="minorHAnsi"/>
                <w:b/>
                <w:kern w:val="0"/>
                <w:sz w:val="22"/>
                <w:szCs w:val="22"/>
                <w:lang w:eastAsia="en-US" w:bidi="ar-SA"/>
              </w:rPr>
              <w:t>Nazwa</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strefy</w:t>
            </w:r>
          </w:p>
        </w:tc>
        <w:tc>
          <w:tcPr>
            <w:tcW w:w="120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101" w:after="0"/>
              <w:ind w:left="126" w:right="120" w:hanging="0"/>
              <w:jc w:val="center"/>
              <w:rPr>
                <w:rFonts w:eastAsia="Times New Roman" w:cs="Calibri" w:cstheme="minorHAnsi"/>
                <w:lang w:val="en-US"/>
              </w:rPr>
            </w:pPr>
            <w:r>
              <w:rPr>
                <w:rFonts w:eastAsia="Times New Roman" w:cs="Calibri" w:cstheme="minorHAnsi"/>
                <w:b/>
                <w:kern w:val="0"/>
                <w:sz w:val="22"/>
                <w:szCs w:val="22"/>
                <w:lang w:eastAsia="en-US" w:bidi="ar-SA"/>
              </w:rPr>
              <w:t>Kod</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strefy</w:t>
            </w:r>
          </w:p>
        </w:tc>
        <w:tc>
          <w:tcPr>
            <w:tcW w:w="9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101" w:after="0"/>
              <w:ind w:left="3" w:hanging="0"/>
              <w:jc w:val="center"/>
              <w:rPr>
                <w:rFonts w:eastAsia="Times New Roman" w:cs="Calibri" w:cstheme="minorHAnsi"/>
                <w:w w:val="99"/>
                <w:lang w:val="en-US"/>
              </w:rPr>
            </w:pPr>
            <w:r>
              <w:rPr>
                <w:rFonts w:eastAsia="Times New Roman" w:cs="Calibri" w:cstheme="minorHAnsi"/>
                <w:b/>
                <w:kern w:val="0"/>
                <w:position w:val="1"/>
                <w:sz w:val="22"/>
                <w:szCs w:val="22"/>
                <w:lang w:eastAsia="en-US" w:bidi="ar-SA"/>
              </w:rPr>
              <w:t>SO</w:t>
            </w:r>
            <w:r>
              <w:rPr>
                <w:rFonts w:eastAsia="Times New Roman" w:cs="Calibri" w:cstheme="minorHAnsi"/>
                <w:b/>
                <w:kern w:val="0"/>
                <w:sz w:val="22"/>
                <w:szCs w:val="22"/>
                <w:vertAlign w:val="subscript"/>
                <w:lang w:eastAsia="en-US" w:bidi="ar-SA"/>
              </w:rPr>
              <w:t>2</w:t>
            </w:r>
          </w:p>
        </w:tc>
        <w:tc>
          <w:tcPr>
            <w:tcW w:w="126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101" w:after="0"/>
              <w:jc w:val="center"/>
              <w:rPr>
                <w:rFonts w:eastAsia="Times New Roman" w:cs="Calibri" w:cstheme="minorHAnsi"/>
                <w:w w:val="99"/>
                <w:lang w:val="en-US"/>
              </w:rPr>
            </w:pPr>
            <w:r>
              <w:rPr>
                <w:rFonts w:eastAsia="Times New Roman" w:cs="Calibri" w:cstheme="minorHAnsi"/>
                <w:b/>
                <w:kern w:val="0"/>
                <w:position w:val="1"/>
                <w:sz w:val="22"/>
                <w:szCs w:val="22"/>
                <w:lang w:eastAsia="en-US" w:bidi="ar-SA"/>
              </w:rPr>
              <w:t>NO</w:t>
            </w:r>
            <w:r>
              <w:rPr>
                <w:rFonts w:eastAsia="Times New Roman" w:cs="Calibri" w:cstheme="minorHAnsi"/>
                <w:b/>
                <w:kern w:val="0"/>
                <w:sz w:val="22"/>
                <w:szCs w:val="22"/>
                <w:vertAlign w:val="subscript"/>
                <w:lang w:eastAsia="en-US" w:bidi="ar-SA"/>
              </w:rPr>
              <w:t>X</w:t>
            </w:r>
          </w:p>
        </w:tc>
        <w:tc>
          <w:tcPr>
            <w:tcW w:w="94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101" w:after="0"/>
              <w:ind w:left="2" w:hanging="0"/>
              <w:jc w:val="center"/>
              <w:rPr>
                <w:rFonts w:eastAsia="Times New Roman" w:cs="Calibri" w:cstheme="minorHAnsi"/>
                <w:iCs/>
                <w:w w:val="99"/>
                <w:lang w:val="en-US"/>
              </w:rPr>
            </w:pPr>
            <w:r>
              <w:rPr>
                <w:rFonts w:eastAsia="Times New Roman" w:cs="Calibri" w:cstheme="minorHAnsi"/>
                <w:b/>
                <w:bCs/>
                <w:iCs/>
                <w:kern w:val="0"/>
                <w:sz w:val="22"/>
                <w:szCs w:val="22"/>
                <w:lang w:val="en-US" w:eastAsia="en-US" w:bidi="ar-SA"/>
              </w:rPr>
              <w:t>O</w:t>
            </w:r>
            <w:r>
              <w:rPr>
                <w:rFonts w:eastAsia="Times New Roman" w:cs="Calibri" w:cstheme="minorHAnsi"/>
                <w:b/>
                <w:bCs/>
                <w:iCs/>
                <w:kern w:val="0"/>
                <w:sz w:val="22"/>
                <w:szCs w:val="22"/>
                <w:vertAlign w:val="subscript"/>
                <w:lang w:val="en-US" w:eastAsia="en-US" w:bidi="ar-SA"/>
              </w:rPr>
              <w:t>3</w:t>
            </w:r>
          </w:p>
        </w:tc>
      </w:tr>
      <w:tr>
        <w:trPr>
          <w:trHeight w:val="462"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01" w:after="0"/>
              <w:ind w:left="5" w:hanging="0"/>
              <w:jc w:val="center"/>
              <w:rPr>
                <w:rFonts w:eastAsia="Times New Roman" w:cs="Calibri" w:cstheme="minorHAnsi"/>
                <w:b/>
                <w:b/>
                <w:lang w:val="en-US"/>
              </w:rPr>
            </w:pPr>
            <w:r>
              <w:rPr>
                <w:rFonts w:eastAsia="Times New Roman" w:cs="Calibri" w:cstheme="minorHAnsi"/>
                <w:w w:val="99"/>
                <w:kern w:val="0"/>
                <w:sz w:val="22"/>
                <w:szCs w:val="22"/>
                <w:lang w:eastAsia="en-US" w:bidi="ar-SA"/>
              </w:rPr>
              <w:t>1</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01" w:after="0"/>
              <w:ind w:left="69" w:hanging="0"/>
              <w:jc w:val="left"/>
              <w:rPr>
                <w:rFonts w:eastAsia="Times New Roman" w:cs="Calibri" w:cstheme="minorHAnsi"/>
                <w:b/>
                <w:b/>
                <w:lang w:val="en-US"/>
              </w:rPr>
            </w:pPr>
            <w:r>
              <w:rPr>
                <w:rFonts w:eastAsia="Times New Roman" w:cs="Calibri" w:cstheme="minorHAnsi"/>
                <w:kern w:val="0"/>
                <w:sz w:val="22"/>
                <w:szCs w:val="22"/>
                <w:lang w:eastAsia="en-US" w:bidi="ar-SA"/>
              </w:rPr>
              <w:t>strefa</w:t>
            </w:r>
            <w:r>
              <w:rPr>
                <w:rFonts w:eastAsia="Times New Roman" w:cs="Calibri" w:cstheme="minorHAnsi"/>
                <w:spacing w:val="-4"/>
                <w:kern w:val="0"/>
                <w:sz w:val="22"/>
                <w:szCs w:val="22"/>
                <w:lang w:eastAsia="en-US" w:bidi="ar-SA"/>
              </w:rPr>
              <w:t xml:space="preserve"> </w:t>
            </w:r>
            <w:r>
              <w:rPr>
                <w:rFonts w:eastAsia="Times New Roman" w:cs="Calibri" w:cstheme="minorHAnsi"/>
                <w:kern w:val="0"/>
                <w:sz w:val="22"/>
                <w:szCs w:val="22"/>
                <w:lang w:eastAsia="en-US" w:bidi="ar-SA"/>
              </w:rPr>
              <w:t>świętokrzyska</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01" w:after="0"/>
              <w:ind w:left="126" w:right="120" w:hanging="0"/>
              <w:jc w:val="center"/>
              <w:rPr>
                <w:rFonts w:eastAsia="Times New Roman" w:cs="Calibri" w:cstheme="minorHAnsi"/>
                <w:b/>
                <w:b/>
                <w:lang w:val="en-US"/>
              </w:rPr>
            </w:pPr>
            <w:r>
              <w:rPr>
                <w:rFonts w:eastAsia="Times New Roman" w:cs="Calibri" w:cstheme="minorHAnsi"/>
                <w:kern w:val="0"/>
                <w:sz w:val="22"/>
                <w:szCs w:val="22"/>
                <w:lang w:eastAsia="en-US" w:bidi="ar-SA"/>
              </w:rPr>
              <w:t>PL2602</w:t>
            </w:r>
          </w:p>
        </w:tc>
        <w:tc>
          <w:tcPr>
            <w:tcW w:w="9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01" w:after="0"/>
              <w:ind w:left="3" w:hanging="0"/>
              <w:jc w:val="center"/>
              <w:rPr>
                <w:rFonts w:eastAsia="Times New Roman" w:cs="Calibri" w:cstheme="minorHAnsi"/>
                <w:b/>
                <w:b/>
                <w:lang w:val="en-US"/>
              </w:rPr>
            </w:pPr>
            <w:r>
              <w:rPr>
                <w:rFonts w:eastAsia="Times New Roman" w:cs="Calibri" w:cstheme="minorHAnsi"/>
                <w:w w:val="99"/>
                <w:kern w:val="0"/>
                <w:position w:val="1"/>
                <w:sz w:val="22"/>
                <w:szCs w:val="22"/>
                <w:lang w:eastAsia="en-US" w:bidi="ar-SA"/>
              </w:rPr>
              <w:t>A</w:t>
            </w:r>
          </w:p>
        </w:tc>
        <w:tc>
          <w:tcPr>
            <w:tcW w:w="12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01" w:after="0"/>
              <w:jc w:val="center"/>
              <w:rPr>
                <w:rFonts w:eastAsia="Times New Roman" w:cs="Calibri" w:cstheme="minorHAnsi"/>
                <w:b/>
                <w:b/>
                <w:lang w:val="en-US"/>
              </w:rPr>
            </w:pPr>
            <w:r>
              <w:rPr>
                <w:rFonts w:eastAsia="Times New Roman" w:cs="Calibri" w:cstheme="minorHAnsi"/>
                <w:w w:val="99"/>
                <w:kern w:val="0"/>
                <w:position w:val="1"/>
                <w:sz w:val="22"/>
                <w:szCs w:val="22"/>
                <w:lang w:eastAsia="en-US" w:bidi="ar-SA"/>
              </w:rPr>
              <w:t>A</w:t>
            </w:r>
          </w:p>
        </w:tc>
        <w:tc>
          <w:tcPr>
            <w:tcW w:w="9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101" w:after="0"/>
              <w:ind w:left="2" w:hanging="0"/>
              <w:jc w:val="center"/>
              <w:rPr>
                <w:rFonts w:eastAsia="Times New Roman" w:cs="Calibri" w:cstheme="minorHAnsi"/>
                <w:b/>
                <w:b/>
                <w:bCs/>
                <w:i/>
                <w:i/>
                <w:lang w:val="en-US"/>
              </w:rPr>
            </w:pPr>
            <w:r>
              <w:rPr>
                <w:rFonts w:eastAsia="Times New Roman" w:cs="Calibri" w:cstheme="minorHAnsi"/>
                <w:w w:val="99"/>
                <w:kern w:val="0"/>
                <w:sz w:val="22"/>
                <w:szCs w:val="22"/>
                <w:lang w:eastAsia="en-US" w:bidi="ar-SA"/>
              </w:rPr>
              <w:t>A</w:t>
            </w:r>
          </w:p>
        </w:tc>
      </w:tr>
    </w:tbl>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Źródło:</w:t>
      </w:r>
      <w:r>
        <w:rPr>
          <w:rFonts w:cs="Calibri" w:cstheme="minorHAnsi"/>
          <w:sz w:val="20"/>
          <w:szCs w:val="20"/>
        </w:rPr>
        <w:t xml:space="preserve"> </w:t>
      </w:r>
      <w:r>
        <w:rPr>
          <w:rFonts w:eastAsia="Arimo" w:cs="Calibri" w:cstheme="minorHAnsi"/>
          <w:sz w:val="20"/>
          <w:szCs w:val="20"/>
        </w:rPr>
        <w:t xml:space="preserve">Roczna ocena jakości powietrza w województwie świętokrzyskim </w:t>
      </w:r>
    </w:p>
    <w:p>
      <w:pPr>
        <w:pStyle w:val="Normal"/>
        <w:widowControl w:val="false"/>
        <w:tabs>
          <w:tab w:val="clear" w:pos="720"/>
          <w:tab w:val="left" w:pos="478" w:leader="none"/>
        </w:tabs>
        <w:spacing w:lineRule="auto" w:line="240" w:before="0" w:after="0"/>
        <w:jc w:val="center"/>
        <w:rPr>
          <w:rFonts w:eastAsia="Arimo" w:cs="Calibri" w:cstheme="minorHAnsi"/>
          <w:sz w:val="20"/>
          <w:szCs w:val="20"/>
        </w:rPr>
      </w:pPr>
      <w:r>
        <w:rPr>
          <w:rFonts w:eastAsia="Arimo" w:cs="Calibri" w:cstheme="minorHAnsi"/>
          <w:sz w:val="20"/>
          <w:szCs w:val="20"/>
        </w:rPr>
        <w:t>(raport wojewódzki za rok 2020)</w:t>
      </w:r>
    </w:p>
    <w:p>
      <w:pPr>
        <w:pStyle w:val="Normal"/>
        <w:widowControl w:val="false"/>
        <w:spacing w:lineRule="auto" w:line="240" w:before="0" w:after="0"/>
        <w:jc w:val="center"/>
        <w:rPr>
          <w:rFonts w:cs="Calibri" w:cstheme="minorHAnsi"/>
          <w:sz w:val="6"/>
          <w:szCs w:val="6"/>
          <w:lang w:eastAsia="pl-PL"/>
        </w:rPr>
      </w:pPr>
      <w:r>
        <w:rPr>
          <w:rFonts w:cs="Calibri" w:cstheme="minorHAnsi"/>
          <w:sz w:val="6"/>
          <w:szCs w:val="6"/>
          <w:lang w:eastAsia="pl-PL"/>
        </w:rPr>
      </w:r>
    </w:p>
    <w:p>
      <w:pPr>
        <w:pStyle w:val="Normal"/>
        <w:spacing w:lineRule="auto" w:line="240" w:before="0" w:after="0"/>
        <w:jc w:val="both"/>
        <w:rPr>
          <w:rFonts w:cs="Calibri" w:cstheme="minorHAnsi"/>
          <w:b/>
          <w:b/>
          <w:bCs/>
          <w:lang w:eastAsia="pl-PL"/>
        </w:rPr>
      </w:pPr>
      <w:r>
        <w:rPr>
          <w:rFonts w:cs="Calibri" w:cstheme="minorHAnsi"/>
          <w:b/>
          <w:bCs/>
          <w:lang w:eastAsia="pl-PL"/>
        </w:rPr>
      </w:r>
    </w:p>
    <w:p>
      <w:pPr>
        <w:pStyle w:val="Normal"/>
        <w:spacing w:lineRule="auto" w:line="240" w:before="0" w:after="0"/>
        <w:rPr>
          <w:rFonts w:cs="Calibri" w:cstheme="minorHAnsi"/>
          <w:b/>
          <w:b/>
        </w:rPr>
      </w:pPr>
      <w:r>
        <w:rPr>
          <w:rFonts w:cs="Calibri" w:cstheme="minorHAnsi"/>
          <w:b/>
        </w:rPr>
        <w:t>Podsumowanie obszaru „ochrona powietrza”</w:t>
      </w:r>
    </w:p>
    <w:p>
      <w:pPr>
        <w:pStyle w:val="Normal"/>
        <w:spacing w:lineRule="auto" w:line="240" w:before="0" w:after="0"/>
        <w:jc w:val="both"/>
        <w:rPr>
          <w:rFonts w:cs="Calibri" w:cstheme="minorHAnsi"/>
          <w:lang w:eastAsia="pl-PL"/>
        </w:rPr>
      </w:pPr>
      <w:r>
        <w:rPr>
          <w:rFonts w:cs="Calibri" w:cstheme="minorHAnsi"/>
          <w:lang w:eastAsia="pl-PL"/>
        </w:rPr>
        <w:t>Podsumowując, w roku 2020 w ocenie pod kątem ochrony zdrowia ludzi przekroczenia wystąpiły:</w:t>
      </w:r>
    </w:p>
    <w:p>
      <w:pPr>
        <w:pStyle w:val="Normal"/>
        <w:spacing w:lineRule="auto" w:line="240" w:before="0" w:after="0"/>
        <w:ind w:left="426" w:hanging="284"/>
        <w:jc w:val="both"/>
        <w:rPr>
          <w:rFonts w:cs="Calibri" w:cstheme="minorHAnsi"/>
          <w:lang w:eastAsia="pl-PL"/>
        </w:rPr>
      </w:pPr>
      <w:r>
        <w:rPr>
          <w:rFonts w:cs="Calibri" w:cstheme="minorHAnsi"/>
          <w:lang w:eastAsia="pl-PL"/>
        </w:rPr>
        <w:t>-</w:t>
        <w:tab/>
        <w:t>w strefie miasto Kielce:</w:t>
      </w:r>
    </w:p>
    <w:p>
      <w:pPr>
        <w:pStyle w:val="Normal"/>
        <w:spacing w:lineRule="auto" w:line="240" w:before="0" w:after="0"/>
        <w:ind w:left="426" w:hanging="284"/>
        <w:jc w:val="both"/>
        <w:rPr>
          <w:rFonts w:cs="Calibri" w:cstheme="minorHAnsi"/>
          <w:lang w:eastAsia="pl-PL"/>
        </w:rPr>
      </w:pPr>
      <w:r>
        <w:rPr>
          <w:rFonts w:cs="Calibri" w:cstheme="minorHAnsi"/>
          <w:lang w:eastAsia="pl-PL"/>
        </w:rPr>
        <w:t>•</w:t>
      </w:r>
      <w:r>
        <w:rPr>
          <w:rFonts w:cs="Calibri" w:cstheme="minorHAnsi"/>
          <w:lang w:eastAsia="pl-PL"/>
        </w:rPr>
        <w:tab/>
        <w:t>poziom docelowy benzo(a)pirenu w pyle PM10 – klasa C;</w:t>
      </w:r>
    </w:p>
    <w:p>
      <w:pPr>
        <w:pStyle w:val="Normal"/>
        <w:spacing w:lineRule="auto" w:line="240" w:before="0" w:after="0"/>
        <w:ind w:left="426" w:hanging="284"/>
        <w:jc w:val="both"/>
        <w:rPr>
          <w:rFonts w:cs="Calibri" w:cstheme="minorHAnsi"/>
          <w:lang w:eastAsia="pl-PL"/>
        </w:rPr>
      </w:pPr>
      <w:r>
        <w:rPr>
          <w:rFonts w:cs="Calibri" w:cstheme="minorHAnsi"/>
          <w:lang w:eastAsia="pl-PL"/>
        </w:rPr>
        <w:t>•</w:t>
      </w:r>
      <w:r>
        <w:rPr>
          <w:rFonts w:cs="Calibri" w:cstheme="minorHAnsi"/>
          <w:lang w:eastAsia="pl-PL"/>
        </w:rPr>
        <w:tab/>
        <w:t>poziom celu długoterminowego ozonu – klasa D2;</w:t>
      </w:r>
    </w:p>
    <w:p>
      <w:pPr>
        <w:pStyle w:val="Normal"/>
        <w:spacing w:lineRule="auto" w:line="240" w:before="0" w:after="0"/>
        <w:ind w:left="426" w:hanging="284"/>
        <w:jc w:val="both"/>
        <w:rPr>
          <w:rFonts w:cs="Calibri" w:cstheme="minorHAnsi"/>
          <w:lang w:eastAsia="pl-PL"/>
        </w:rPr>
      </w:pPr>
      <w:r>
        <w:rPr>
          <w:rFonts w:cs="Calibri" w:cstheme="minorHAnsi"/>
          <w:lang w:eastAsia="pl-PL"/>
        </w:rPr>
        <w:t>-</w:t>
        <w:tab/>
        <w:t>w strefie świętokrzyskiej:</w:t>
      </w:r>
    </w:p>
    <w:p>
      <w:pPr>
        <w:pStyle w:val="Normal"/>
        <w:spacing w:lineRule="auto" w:line="240" w:before="0" w:after="0"/>
        <w:ind w:left="426" w:hanging="284"/>
        <w:jc w:val="both"/>
        <w:rPr>
          <w:rFonts w:cs="Calibri" w:cstheme="minorHAnsi"/>
          <w:lang w:eastAsia="pl-PL"/>
        </w:rPr>
      </w:pPr>
      <w:r>
        <w:rPr>
          <w:rFonts w:cs="Calibri" w:cstheme="minorHAnsi"/>
          <w:lang w:eastAsia="pl-PL"/>
        </w:rPr>
        <w:t>•</w:t>
      </w:r>
      <w:r>
        <w:rPr>
          <w:rFonts w:cs="Calibri" w:cstheme="minorHAnsi"/>
          <w:lang w:eastAsia="pl-PL"/>
        </w:rPr>
        <w:tab/>
        <w:t>poziom docelowy benzo(a)pirenu w pyle PM10 – klasa C;</w:t>
      </w:r>
    </w:p>
    <w:p>
      <w:pPr>
        <w:pStyle w:val="Normal"/>
        <w:spacing w:lineRule="auto" w:line="240" w:before="0" w:after="0"/>
        <w:ind w:left="426" w:hanging="284"/>
        <w:jc w:val="both"/>
        <w:rPr>
          <w:rFonts w:cs="Calibri" w:cstheme="minorHAnsi"/>
          <w:lang w:eastAsia="pl-PL"/>
        </w:rPr>
      </w:pPr>
      <w:r>
        <w:rPr>
          <w:rFonts w:cs="Calibri" w:cstheme="minorHAnsi"/>
          <w:lang w:eastAsia="pl-PL"/>
        </w:rPr>
        <w:t>•</w:t>
      </w:r>
      <w:r>
        <w:rPr>
          <w:rFonts w:cs="Calibri" w:cstheme="minorHAnsi"/>
          <w:lang w:eastAsia="pl-PL"/>
        </w:rPr>
        <w:tab/>
        <w:t>poziom celu długoterminowego ozonu – klasa D2.</w:t>
      </w:r>
    </w:p>
    <w:p>
      <w:pPr>
        <w:pStyle w:val="Normal"/>
        <w:spacing w:lineRule="auto" w:line="240" w:before="0" w:after="0"/>
        <w:jc w:val="both"/>
        <w:rPr>
          <w:rFonts w:cs="Calibri" w:cstheme="minorHAnsi"/>
          <w:lang w:eastAsia="pl-PL"/>
        </w:rPr>
      </w:pPr>
      <w:r>
        <w:rPr>
          <w:rFonts w:cs="Calibri" w:cstheme="minorHAnsi"/>
          <w:lang w:eastAsia="pl-PL"/>
        </w:rPr>
      </w:r>
    </w:p>
    <w:p>
      <w:pPr>
        <w:pStyle w:val="Normal"/>
        <w:spacing w:lineRule="auto" w:line="240" w:before="0" w:after="0"/>
        <w:jc w:val="both"/>
        <w:rPr>
          <w:rFonts w:cs="Calibri" w:cstheme="minorHAnsi"/>
          <w:lang w:eastAsia="pl-PL"/>
        </w:rPr>
      </w:pPr>
      <w:r>
        <w:rPr>
          <w:rFonts w:cs="Calibri" w:cstheme="minorHAnsi"/>
          <w:lang w:eastAsia="pl-PL"/>
        </w:rPr>
        <w:t>W ocenie pod kątem ochrony roślin przekroczenia wystąpiły w zakresie:</w:t>
      </w:r>
    </w:p>
    <w:p>
      <w:pPr>
        <w:pStyle w:val="Normal"/>
        <w:spacing w:lineRule="auto" w:line="240" w:before="0" w:after="0"/>
        <w:ind w:left="284" w:hanging="0"/>
        <w:jc w:val="both"/>
        <w:rPr>
          <w:rFonts w:cs="Calibri" w:cstheme="minorHAnsi"/>
          <w:lang w:eastAsia="pl-PL"/>
        </w:rPr>
      </w:pPr>
      <w:r>
        <w:rPr>
          <w:rFonts w:cs="Calibri" w:cstheme="minorHAnsi"/>
          <w:lang w:eastAsia="pl-PL"/>
        </w:rPr>
        <w:t>-</w:t>
        <w:tab/>
        <w:t>strefa świętokrzyska:</w:t>
      </w:r>
    </w:p>
    <w:p>
      <w:pPr>
        <w:pStyle w:val="Normal"/>
        <w:spacing w:lineRule="auto" w:line="240" w:before="0" w:after="0"/>
        <w:ind w:left="284" w:hanging="0"/>
        <w:jc w:val="both"/>
        <w:rPr>
          <w:rFonts w:cs="Calibri" w:cstheme="minorHAnsi"/>
          <w:lang w:eastAsia="pl-PL"/>
        </w:rPr>
      </w:pPr>
      <w:r>
        <w:rPr>
          <w:rFonts w:cs="Calibri" w:cstheme="minorHAnsi"/>
          <w:lang w:eastAsia="pl-PL"/>
        </w:rPr>
        <w:t>•</w:t>
      </w:r>
      <w:r>
        <w:rPr>
          <w:rFonts w:cs="Calibri" w:cstheme="minorHAnsi"/>
          <w:lang w:eastAsia="pl-PL"/>
        </w:rPr>
        <w:tab/>
        <w:t>poziom celu długoterminowego ozonu – klasa D2.</w:t>
      </w:r>
    </w:p>
    <w:p>
      <w:pPr>
        <w:pStyle w:val="Normal"/>
        <w:spacing w:lineRule="auto" w:line="240" w:before="0" w:after="0"/>
        <w:jc w:val="both"/>
        <w:rPr>
          <w:rFonts w:cs="Calibri" w:cstheme="minorHAnsi"/>
          <w:lang w:eastAsia="pl-PL"/>
        </w:rPr>
      </w:pPr>
      <w:r>
        <w:rPr>
          <w:rFonts w:cs="Calibri" w:cstheme="minorHAnsi"/>
          <w:lang w:eastAsia="pl-PL"/>
        </w:rPr>
      </w:r>
    </w:p>
    <w:p>
      <w:pPr>
        <w:pStyle w:val="Normal"/>
        <w:spacing w:lineRule="auto" w:line="240" w:before="0" w:after="0"/>
        <w:jc w:val="both"/>
        <w:rPr>
          <w:rFonts w:cs="Calibri" w:cstheme="minorHAnsi"/>
          <w:lang w:eastAsia="pl-PL"/>
        </w:rPr>
      </w:pPr>
      <w:r>
        <w:rPr>
          <w:rFonts w:cs="Calibri" w:cstheme="minorHAnsi"/>
          <w:lang w:eastAsia="pl-PL"/>
        </w:rPr>
        <w:t>Listę stref, w których wystąpiły przekroczenia wraz z charakterystyką sytuacji przekroczeń przedstawiono w tabeli poniżej</w:t>
      </w:r>
    </w:p>
    <w:p>
      <w:pPr>
        <w:pStyle w:val="Normal"/>
        <w:rPr>
          <w:rFonts w:cs="Calibri" w:cstheme="minorHAnsi"/>
          <w:lang w:eastAsia="pl-PL"/>
        </w:rPr>
      </w:pPr>
      <w:r>
        <w:rPr>
          <w:rFonts w:cs="Calibri" w:cstheme="minorHAnsi"/>
          <w:lang w:eastAsia="pl-PL"/>
        </w:rPr>
      </w:r>
      <w:r>
        <w:br w:type="page"/>
      </w:r>
    </w:p>
    <w:p>
      <w:pPr>
        <w:pStyle w:val="Normal"/>
        <w:spacing w:lineRule="auto" w:line="240" w:before="0" w:after="0"/>
        <w:jc w:val="both"/>
        <w:rPr>
          <w:rFonts w:cs="Calibri" w:cstheme="minorHAnsi"/>
          <w:sz w:val="6"/>
          <w:szCs w:val="6"/>
        </w:rPr>
      </w:pPr>
      <w:r>
        <w:rPr>
          <w:rFonts w:cs="Calibri" w:cstheme="minorHAnsi"/>
          <w:sz w:val="6"/>
          <w:szCs w:val="6"/>
        </w:rPr>
      </w:r>
    </w:p>
    <w:p>
      <w:pPr>
        <w:pStyle w:val="Normal"/>
        <w:spacing w:lineRule="auto" w:line="240" w:before="0" w:after="0"/>
        <w:jc w:val="center"/>
        <w:rPr>
          <w:rFonts w:cs="Calibri" w:cstheme="minorHAnsi"/>
          <w:b/>
          <w:b/>
          <w:bCs/>
          <w:sz w:val="20"/>
          <w:szCs w:val="20"/>
        </w:rPr>
      </w:pPr>
      <w:bookmarkStart w:id="54" w:name="_Toc118887757"/>
      <w:bookmarkStart w:id="55" w:name="_Toc114224872"/>
      <w:bookmarkStart w:id="56" w:name="_Toc113967494"/>
      <w:r>
        <w:rPr>
          <w:rFonts w:cs="Calibri" w:cstheme="minorHAnsi"/>
          <w:sz w:val="20"/>
          <w:szCs w:val="20"/>
        </w:rPr>
        <w:t xml:space="preserve">Tabela </w:t>
      </w:r>
      <w:r>
        <w:rPr>
          <w:rFonts w:cs="Calibri" w:cstheme="minorHAnsi"/>
          <w:b/>
          <w:bCs/>
          <w:sz w:val="20"/>
          <w:szCs w:val="20"/>
        </w:rPr>
        <w:fldChar w:fldCharType="begin"/>
      </w:r>
      <w:r>
        <w:rPr>
          <w:sz w:val="20"/>
          <w:b/>
          <w:szCs w:val="20"/>
          <w:bCs/>
          <w:rFonts w:cs="Calibri"/>
        </w:rPr>
        <w:instrText xml:space="preserve"> SEQ Tabela \* ARABIC </w:instrText>
      </w:r>
      <w:r>
        <w:rPr>
          <w:sz w:val="20"/>
          <w:b/>
          <w:szCs w:val="20"/>
          <w:bCs/>
          <w:rFonts w:cs="Calibri"/>
        </w:rPr>
        <w:fldChar w:fldCharType="separate"/>
      </w:r>
      <w:r>
        <w:rPr>
          <w:sz w:val="20"/>
          <w:b/>
          <w:szCs w:val="20"/>
          <w:bCs/>
          <w:rFonts w:cs="Calibri"/>
        </w:rPr>
        <w:t>8</w:t>
      </w:r>
      <w:r>
        <w:rPr>
          <w:sz w:val="20"/>
          <w:b/>
          <w:szCs w:val="20"/>
          <w:bCs/>
          <w:rFonts w:cs="Calibri"/>
        </w:rPr>
        <w:fldChar w:fldCharType="end"/>
      </w:r>
      <w:r>
        <w:rPr>
          <w:rFonts w:cs="Calibri" w:cstheme="minorHAnsi"/>
          <w:sz w:val="20"/>
          <w:szCs w:val="20"/>
        </w:rPr>
        <w:t xml:space="preserve"> Zestawienie informacji dotyczących obszarów przekroczeń dla poszczególnych zanieczyszczeń </w:t>
        <w:br/>
        <w:t>w roku 2020 w województwie świętokrzyskim z uwzględnieniem kryterium określonego w celu ochrony zdrowia</w:t>
      </w:r>
      <w:bookmarkEnd w:id="54"/>
      <w:bookmarkEnd w:id="55"/>
      <w:bookmarkEnd w:id="56"/>
    </w:p>
    <w:tbl>
      <w:tblPr>
        <w:tblStyle w:val="TableNormal"/>
        <w:tblW w:w="10756" w:type="dxa"/>
        <w:jc w:val="left"/>
        <w:tblInd w:w="-572" w:type="dxa"/>
        <w:tblLayout w:type="fixed"/>
        <w:tblCellMar>
          <w:top w:w="0" w:type="dxa"/>
          <w:left w:w="5" w:type="dxa"/>
          <w:bottom w:w="0" w:type="dxa"/>
          <w:right w:w="5" w:type="dxa"/>
        </w:tblCellMar>
        <w:tblLook w:firstRow="1" w:noVBand="0" w:lastRow="1" w:firstColumn="1" w:lastColumn="1" w:noHBand="0" w:val="01e0"/>
      </w:tblPr>
      <w:tblGrid>
        <w:gridCol w:w="1145"/>
        <w:gridCol w:w="1290"/>
        <w:gridCol w:w="1864"/>
        <w:gridCol w:w="1289"/>
        <w:gridCol w:w="1291"/>
        <w:gridCol w:w="1149"/>
        <w:gridCol w:w="1287"/>
        <w:gridCol w:w="1439"/>
      </w:tblGrid>
      <w:tr>
        <w:trPr>
          <w:trHeight w:val="503" w:hRule="atLeast"/>
        </w:trPr>
        <w:tc>
          <w:tcPr>
            <w:tcW w:w="1145"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40" w:before="9" w:after="0"/>
              <w:jc w:val="center"/>
              <w:rPr>
                <w:rFonts w:eastAsia="Times New Roman" w:cs="Calibri" w:cstheme="minorHAnsi"/>
                <w:i/>
                <w:i/>
                <w:sz w:val="20"/>
                <w:szCs w:val="20"/>
              </w:rPr>
            </w:pPr>
            <w:r>
              <w:rPr>
                <w:rFonts w:eastAsia="Times New Roman" w:cs="Calibri" w:cstheme="minorHAnsi"/>
                <w:i/>
                <w:kern w:val="0"/>
                <w:sz w:val="22"/>
                <w:szCs w:val="22"/>
                <w:lang w:eastAsia="en-US" w:bidi="ar-SA"/>
              </w:rPr>
            </w:r>
          </w:p>
          <w:p>
            <w:pPr>
              <w:pStyle w:val="Normal"/>
              <w:widowControl w:val="false"/>
              <w:spacing w:lineRule="auto" w:line="276" w:before="0" w:after="0"/>
              <w:ind w:left="144" w:right="182" w:hanging="21"/>
              <w:jc w:val="center"/>
              <w:rPr>
                <w:rFonts w:eastAsia="Times New Roman" w:cs="Calibri" w:cstheme="minorHAnsi"/>
                <w:b/>
                <w:b/>
                <w:sz w:val="20"/>
                <w:szCs w:val="20"/>
              </w:rPr>
            </w:pPr>
            <w:r>
              <w:rPr>
                <w:rFonts w:eastAsia="Times New Roman" w:cs="Calibri" w:cstheme="minorHAnsi"/>
                <w:b/>
                <w:kern w:val="0"/>
                <w:sz w:val="20"/>
                <w:szCs w:val="20"/>
                <w:lang w:eastAsia="en-US" w:bidi="ar-SA"/>
              </w:rPr>
              <w:t>Kod</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strefy</w:t>
            </w:r>
          </w:p>
        </w:tc>
        <w:tc>
          <w:tcPr>
            <w:tcW w:w="1290"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40" w:before="127" w:after="0"/>
              <w:ind w:right="-13"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Nazwa</w:t>
            </w:r>
            <w:r>
              <w:rPr>
                <w:rFonts w:eastAsia="Times New Roman" w:cs="Calibri" w:cstheme="minorHAnsi"/>
                <w:b/>
                <w:spacing w:val="-2"/>
                <w:kern w:val="0"/>
                <w:sz w:val="20"/>
                <w:szCs w:val="20"/>
                <w:lang w:eastAsia="en-US" w:bidi="ar-SA"/>
              </w:rPr>
              <w:t xml:space="preserve"> </w:t>
            </w:r>
            <w:r>
              <w:rPr>
                <w:rFonts w:eastAsia="Times New Roman" w:cs="Calibri" w:cstheme="minorHAnsi"/>
                <w:b/>
                <w:kern w:val="0"/>
                <w:sz w:val="20"/>
                <w:szCs w:val="20"/>
                <w:lang w:eastAsia="en-US" w:bidi="ar-SA"/>
              </w:rPr>
              <w:t>strefy</w:t>
            </w:r>
          </w:p>
        </w:tc>
        <w:tc>
          <w:tcPr>
            <w:tcW w:w="1864"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40" w:before="127" w:after="0"/>
              <w:ind w:right="104"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Typ</w:t>
            </w:r>
            <w:r>
              <w:rPr>
                <w:rFonts w:eastAsia="Times New Roman" w:cs="Calibri" w:cstheme="minorHAnsi"/>
                <w:b/>
                <w:spacing w:val="-4"/>
                <w:kern w:val="0"/>
                <w:sz w:val="20"/>
                <w:szCs w:val="20"/>
                <w:lang w:eastAsia="en-US" w:bidi="ar-SA"/>
              </w:rPr>
              <w:t xml:space="preserve"> </w:t>
            </w:r>
            <w:r>
              <w:rPr>
                <w:rFonts w:eastAsia="Times New Roman" w:cs="Calibri" w:cstheme="minorHAnsi"/>
                <w:b/>
                <w:kern w:val="0"/>
                <w:sz w:val="20"/>
                <w:szCs w:val="20"/>
                <w:lang w:eastAsia="en-US" w:bidi="ar-SA"/>
              </w:rPr>
              <w:t>normy</w:t>
            </w:r>
          </w:p>
        </w:tc>
        <w:tc>
          <w:tcPr>
            <w:tcW w:w="1289"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119" w:after="0"/>
              <w:ind w:right="100"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Czas</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uśredniania</w:t>
            </w:r>
            <w:r>
              <w:rPr>
                <w:rFonts w:eastAsia="Times New Roman" w:cs="Calibri" w:cstheme="minorHAnsi"/>
                <w:b/>
                <w:spacing w:val="-42"/>
                <w:kern w:val="0"/>
                <w:sz w:val="20"/>
                <w:szCs w:val="20"/>
                <w:lang w:eastAsia="en-US" w:bidi="ar-SA"/>
              </w:rPr>
              <w:t xml:space="preserve"> </w:t>
            </w:r>
            <w:r>
              <w:rPr>
                <w:rFonts w:eastAsia="Times New Roman" w:cs="Calibri" w:cstheme="minorHAnsi"/>
                <w:b/>
                <w:kern w:val="0"/>
                <w:sz w:val="20"/>
                <w:szCs w:val="20"/>
                <w:lang w:eastAsia="en-US" w:bidi="ar-SA"/>
              </w:rPr>
              <w:t>(parametr)</w:t>
            </w:r>
          </w:p>
        </w:tc>
        <w:tc>
          <w:tcPr>
            <w:tcW w:w="1291"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0" w:after="0"/>
              <w:ind w:left="95" w:right="81" w:hanging="2"/>
              <w:jc w:val="center"/>
              <w:rPr>
                <w:rFonts w:eastAsia="Times New Roman" w:cs="Calibri" w:cstheme="minorHAnsi"/>
                <w:b/>
                <w:b/>
                <w:sz w:val="20"/>
                <w:szCs w:val="20"/>
              </w:rPr>
            </w:pPr>
            <w:r>
              <w:rPr>
                <w:rFonts w:eastAsia="Times New Roman" w:cs="Calibri" w:cstheme="minorHAnsi"/>
                <w:b/>
                <w:kern w:val="0"/>
                <w:sz w:val="20"/>
                <w:szCs w:val="20"/>
                <w:lang w:eastAsia="en-US" w:bidi="ar-SA"/>
              </w:rPr>
              <w:t>Powierzchnia</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obszaru</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przekroczenia</w:t>
            </w:r>
            <w:r>
              <w:rPr>
                <w:rFonts w:eastAsia="Times New Roman" w:cs="Calibri" w:cstheme="minorHAnsi"/>
                <w:b/>
                <w:kern w:val="0"/>
                <w:sz w:val="20"/>
                <w:szCs w:val="20"/>
                <w:lang w:eastAsia="en-US" w:bidi="ar-SA"/>
              </w:rPr>
              <w:t xml:space="preserve"> [km</w:t>
            </w:r>
            <w:r>
              <w:rPr>
                <w:rFonts w:eastAsia="Times New Roman" w:cs="Calibri" w:cstheme="minorHAnsi"/>
                <w:b/>
                <w:kern w:val="0"/>
                <w:sz w:val="20"/>
                <w:szCs w:val="20"/>
                <w:vertAlign w:val="superscript"/>
                <w:lang w:eastAsia="en-US" w:bidi="ar-SA"/>
              </w:rPr>
              <w:t>2</w:t>
            </w:r>
            <w:r>
              <w:rPr>
                <w:rFonts w:eastAsia="Times New Roman" w:cs="Calibri" w:cstheme="minorHAnsi"/>
                <w:b/>
                <w:kern w:val="0"/>
                <w:sz w:val="20"/>
                <w:szCs w:val="20"/>
                <w:lang w:eastAsia="en-US" w:bidi="ar-SA"/>
              </w:rPr>
              <w:t>]</w:t>
            </w:r>
          </w:p>
        </w:tc>
        <w:tc>
          <w:tcPr>
            <w:tcW w:w="1149"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119" w:after="0"/>
              <w:ind w:left="98" w:right="88" w:hanging="1"/>
              <w:jc w:val="center"/>
              <w:rPr>
                <w:rFonts w:eastAsia="Times New Roman" w:cs="Calibri" w:cstheme="minorHAnsi"/>
                <w:b/>
                <w:b/>
                <w:sz w:val="20"/>
                <w:szCs w:val="20"/>
              </w:rPr>
            </w:pPr>
            <w:r>
              <w:rPr>
                <w:rFonts w:eastAsia="Times New Roman" w:cs="Calibri" w:cstheme="minorHAnsi"/>
                <w:b/>
                <w:kern w:val="0"/>
                <w:sz w:val="20"/>
                <w:szCs w:val="20"/>
                <w:lang w:eastAsia="en-US" w:bidi="ar-SA"/>
              </w:rPr>
              <w:t>Udział w</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powierzchni</w:t>
            </w:r>
            <w:r>
              <w:rPr>
                <w:rFonts w:eastAsia="Times New Roman" w:cs="Calibri" w:cstheme="minorHAnsi"/>
                <w:b/>
                <w:spacing w:val="-42"/>
                <w:kern w:val="0"/>
                <w:sz w:val="20"/>
                <w:szCs w:val="20"/>
                <w:lang w:eastAsia="en-US" w:bidi="ar-SA"/>
              </w:rPr>
              <w:t xml:space="preserve"> </w:t>
            </w:r>
            <w:r>
              <w:rPr>
                <w:rFonts w:eastAsia="Times New Roman" w:cs="Calibri" w:cstheme="minorHAnsi"/>
                <w:b/>
                <w:kern w:val="0"/>
                <w:sz w:val="20"/>
                <w:szCs w:val="20"/>
                <w:lang w:eastAsia="en-US" w:bidi="ar-SA"/>
              </w:rPr>
              <w:t>strefy [%]</w:t>
            </w:r>
          </w:p>
        </w:tc>
        <w:tc>
          <w:tcPr>
            <w:tcW w:w="1287"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0" w:after="0"/>
              <w:ind w:left="124" w:right="121" w:firstLine="6"/>
              <w:jc w:val="center"/>
              <w:rPr>
                <w:rFonts w:eastAsia="Times New Roman" w:cs="Calibri" w:cstheme="minorHAnsi"/>
                <w:b/>
                <w:b/>
                <w:sz w:val="20"/>
                <w:szCs w:val="20"/>
              </w:rPr>
            </w:pPr>
            <w:r>
              <w:rPr>
                <w:rFonts w:eastAsia="Times New Roman" w:cs="Calibri" w:cstheme="minorHAnsi"/>
                <w:b/>
                <w:kern w:val="0"/>
                <w:sz w:val="20"/>
                <w:szCs w:val="20"/>
                <w:lang w:eastAsia="en-US" w:bidi="ar-SA"/>
              </w:rPr>
              <w:t>Liczba</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mieszkańców</w:t>
            </w:r>
            <w:r>
              <w:rPr>
                <w:rFonts w:eastAsia="Times New Roman" w:cs="Calibri" w:cstheme="minorHAnsi"/>
                <w:b/>
                <w:spacing w:val="-42"/>
                <w:kern w:val="0"/>
                <w:sz w:val="20"/>
                <w:szCs w:val="20"/>
                <w:lang w:eastAsia="en-US" w:bidi="ar-SA"/>
              </w:rPr>
              <w:t xml:space="preserve"> </w:t>
            </w:r>
            <w:r>
              <w:rPr>
                <w:rFonts w:eastAsia="Times New Roman" w:cs="Calibri" w:cstheme="minorHAnsi"/>
                <w:b/>
                <w:kern w:val="0"/>
                <w:sz w:val="20"/>
                <w:szCs w:val="20"/>
                <w:lang w:eastAsia="en-US" w:bidi="ar-SA"/>
              </w:rPr>
              <w:t>obszaru</w:t>
            </w:r>
          </w:p>
          <w:p>
            <w:pPr>
              <w:pStyle w:val="Normal"/>
              <w:widowControl w:val="false"/>
              <w:spacing w:lineRule="auto" w:line="240" w:before="1" w:after="0"/>
              <w:ind w:left="69" w:right="66"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przekroczenia</w:t>
            </w:r>
          </w:p>
        </w:tc>
        <w:tc>
          <w:tcPr>
            <w:tcW w:w="1439"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0" w:after="0"/>
              <w:ind w:left="2" w:hanging="4"/>
              <w:jc w:val="center"/>
              <w:rPr>
                <w:rFonts w:eastAsia="Times New Roman" w:cs="Calibri" w:cstheme="minorHAnsi"/>
                <w:b/>
                <w:b/>
                <w:sz w:val="20"/>
                <w:szCs w:val="20"/>
              </w:rPr>
            </w:pPr>
            <w:r>
              <w:rPr>
                <w:rFonts w:eastAsia="Times New Roman" w:cs="Calibri" w:cstheme="minorHAnsi"/>
                <w:b/>
                <w:kern w:val="0"/>
                <w:sz w:val="20"/>
                <w:szCs w:val="20"/>
                <w:lang w:eastAsia="en-US" w:bidi="ar-SA"/>
              </w:rPr>
              <w:t>Udział</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w liczbie</w:t>
            </w:r>
          </w:p>
          <w:p>
            <w:pPr>
              <w:pStyle w:val="Normal"/>
              <w:widowControl w:val="false"/>
              <w:spacing w:lineRule="exact" w:line="204" w:before="0" w:after="0"/>
              <w:ind w:left="66" w:right="66"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mieszkańców</w:t>
            </w:r>
          </w:p>
          <w:p>
            <w:pPr>
              <w:pStyle w:val="Normal"/>
              <w:widowControl w:val="false"/>
              <w:spacing w:lineRule="auto" w:line="240" w:before="30" w:after="0"/>
              <w:ind w:left="69" w:right="64"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strefy</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w:t>
            </w:r>
          </w:p>
        </w:tc>
      </w:tr>
      <w:tr>
        <w:trPr>
          <w:trHeight w:val="257" w:hRule="atLeast"/>
        </w:trPr>
        <w:tc>
          <w:tcPr>
            <w:tcW w:w="10754" w:type="dxa"/>
            <w:gridSpan w:val="8"/>
            <w:tcBorders>
              <w:top w:val="single" w:sz="4" w:space="0" w:color="000000"/>
              <w:left w:val="single" w:sz="4" w:space="0" w:color="000000"/>
              <w:bottom w:val="single" w:sz="4" w:space="0" w:color="000000"/>
              <w:right w:val="single" w:sz="4" w:space="0" w:color="000000"/>
            </w:tcBorders>
            <w:shd w:color="auto" w:fill="F1F1F1" w:val="clear"/>
            <w:vAlign w:val="center"/>
          </w:tcPr>
          <w:p>
            <w:pPr>
              <w:pStyle w:val="Normal"/>
              <w:widowControl w:val="false"/>
              <w:spacing w:lineRule="auto" w:line="240" w:before="113" w:after="0"/>
              <w:ind w:left="71"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B(a)P</w:t>
            </w:r>
            <w:r>
              <w:rPr>
                <w:rFonts w:eastAsia="Times New Roman" w:cs="Calibri" w:cstheme="minorHAnsi"/>
                <w:b/>
                <w:spacing w:val="-2"/>
                <w:kern w:val="0"/>
                <w:sz w:val="20"/>
                <w:szCs w:val="20"/>
                <w:lang w:eastAsia="en-US" w:bidi="ar-SA"/>
              </w:rPr>
              <w:t xml:space="preserve"> </w:t>
            </w:r>
            <w:r>
              <w:rPr>
                <w:rFonts w:eastAsia="Times New Roman" w:cs="Calibri" w:cstheme="minorHAnsi"/>
                <w:b/>
                <w:kern w:val="0"/>
                <w:sz w:val="20"/>
                <w:szCs w:val="20"/>
                <w:lang w:eastAsia="en-US" w:bidi="ar-SA"/>
              </w:rPr>
              <w:t>– ochrona zdrowia</w:t>
            </w:r>
          </w:p>
        </w:tc>
      </w:tr>
      <w:tr>
        <w:trPr>
          <w:trHeight w:val="328" w:hRule="atLeast"/>
        </w:trPr>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9" w:hanging="0"/>
              <w:jc w:val="center"/>
              <w:rPr>
                <w:rFonts w:eastAsia="Times New Roman" w:cs="Calibri" w:cstheme="minorHAnsi"/>
                <w:sz w:val="20"/>
                <w:szCs w:val="20"/>
              </w:rPr>
            </w:pPr>
            <w:r>
              <w:rPr>
                <w:rFonts w:eastAsia="Times New Roman" w:cs="Calibri" w:cstheme="minorHAnsi"/>
                <w:kern w:val="0"/>
                <w:sz w:val="20"/>
                <w:szCs w:val="20"/>
                <w:lang w:eastAsia="en-US" w:bidi="ar-SA"/>
              </w:rPr>
              <w:t>PL2601</w:t>
            </w:r>
          </w:p>
        </w:tc>
        <w:tc>
          <w:tcPr>
            <w:tcW w:w="12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29" w:hanging="0"/>
              <w:jc w:val="center"/>
              <w:rPr>
                <w:rFonts w:eastAsia="Times New Roman" w:cs="Calibri" w:cstheme="minorHAnsi"/>
                <w:sz w:val="20"/>
                <w:szCs w:val="20"/>
              </w:rPr>
            </w:pPr>
            <w:r>
              <w:rPr>
                <w:rFonts w:eastAsia="Times New Roman" w:cs="Calibri" w:cstheme="minorHAnsi"/>
                <w:kern w:val="0"/>
                <w:sz w:val="20"/>
                <w:szCs w:val="20"/>
                <w:lang w:eastAsia="en-US" w:bidi="ar-SA"/>
              </w:rPr>
              <w:t>miasto Kielce</w:t>
            </w:r>
          </w:p>
        </w:tc>
        <w:tc>
          <w:tcPr>
            <w:tcW w:w="18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4" w:hanging="0"/>
              <w:jc w:val="center"/>
              <w:rPr>
                <w:rFonts w:eastAsia="Times New Roman" w:cs="Calibri" w:cstheme="minorHAnsi"/>
                <w:sz w:val="20"/>
                <w:szCs w:val="20"/>
              </w:rPr>
            </w:pPr>
            <w:r>
              <w:rPr>
                <w:rFonts w:eastAsia="Times New Roman" w:cs="Calibri" w:cstheme="minorHAnsi"/>
                <w:kern w:val="0"/>
                <w:sz w:val="20"/>
                <w:szCs w:val="20"/>
                <w:lang w:eastAsia="en-US" w:bidi="ar-SA"/>
              </w:rPr>
              <w:t>Poziom</w:t>
            </w:r>
            <w:r>
              <w:rPr>
                <w:rFonts w:eastAsia="Times New Roman" w:cs="Calibri" w:cstheme="minorHAnsi"/>
                <w:spacing w:val="-3"/>
                <w:kern w:val="0"/>
                <w:sz w:val="20"/>
                <w:szCs w:val="20"/>
                <w:lang w:eastAsia="en-US" w:bidi="ar-SA"/>
              </w:rPr>
              <w:t xml:space="preserve"> </w:t>
            </w:r>
            <w:r>
              <w:rPr>
                <w:rFonts w:eastAsia="Times New Roman" w:cs="Calibri" w:cstheme="minorHAnsi"/>
                <w:kern w:val="0"/>
                <w:sz w:val="20"/>
                <w:szCs w:val="20"/>
                <w:lang w:eastAsia="en-US" w:bidi="ar-SA"/>
              </w:rPr>
              <w:t>docelowy</w:t>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sz w:val="20"/>
                <w:szCs w:val="20"/>
              </w:rPr>
            </w:pPr>
            <w:r>
              <w:rPr>
                <w:rFonts w:eastAsia="Times New Roman" w:cs="Calibri" w:cstheme="minorHAnsi"/>
                <w:kern w:val="0"/>
                <w:sz w:val="20"/>
                <w:szCs w:val="20"/>
                <w:lang w:eastAsia="en-US" w:bidi="ar-SA"/>
              </w:rPr>
              <w:t>Śr.</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roczna</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36" w:hanging="0"/>
              <w:jc w:val="center"/>
              <w:rPr>
                <w:rFonts w:eastAsia="Times New Roman" w:cs="Calibri" w:cstheme="minorHAnsi"/>
                <w:sz w:val="20"/>
                <w:szCs w:val="20"/>
              </w:rPr>
            </w:pPr>
            <w:r>
              <w:rPr>
                <w:rFonts w:eastAsia="Times New Roman" w:cs="Calibri" w:cstheme="minorHAnsi"/>
                <w:kern w:val="0"/>
                <w:sz w:val="20"/>
                <w:szCs w:val="20"/>
                <w:lang w:eastAsia="en-US" w:bidi="ar-SA"/>
              </w:rPr>
              <w:t>95,2</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80" w:hanging="0"/>
              <w:jc w:val="center"/>
              <w:rPr>
                <w:rFonts w:eastAsia="Times New Roman" w:cs="Calibri" w:cstheme="minorHAnsi"/>
                <w:sz w:val="20"/>
                <w:szCs w:val="20"/>
              </w:rPr>
            </w:pPr>
            <w:r>
              <w:rPr>
                <w:rFonts w:eastAsia="Times New Roman" w:cs="Calibri" w:cstheme="minorHAnsi"/>
                <w:kern w:val="0"/>
                <w:sz w:val="20"/>
                <w:szCs w:val="20"/>
                <w:lang w:eastAsia="en-US" w:bidi="ar-SA"/>
              </w:rPr>
              <w:t>86,5</w:t>
            </w:r>
          </w:p>
        </w:tc>
        <w:tc>
          <w:tcPr>
            <w:tcW w:w="1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2" w:hanging="0"/>
              <w:jc w:val="center"/>
              <w:rPr>
                <w:rFonts w:eastAsia="Times New Roman" w:cs="Calibri" w:cstheme="minorHAnsi"/>
                <w:sz w:val="20"/>
                <w:szCs w:val="20"/>
              </w:rPr>
            </w:pPr>
            <w:r>
              <w:rPr>
                <w:rFonts w:eastAsia="Times New Roman" w:cs="Calibri" w:cstheme="minorHAnsi"/>
                <w:kern w:val="0"/>
                <w:sz w:val="20"/>
                <w:szCs w:val="20"/>
                <w:lang w:eastAsia="en-US" w:bidi="ar-SA"/>
              </w:rPr>
              <w:t>192</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732</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1" w:hanging="0"/>
              <w:jc w:val="center"/>
              <w:rPr>
                <w:rFonts w:eastAsia="Times New Roman" w:cs="Calibri" w:cstheme="minorHAnsi"/>
                <w:sz w:val="20"/>
                <w:szCs w:val="20"/>
              </w:rPr>
            </w:pPr>
            <w:r>
              <w:rPr>
                <w:rFonts w:eastAsia="Times New Roman" w:cs="Calibri" w:cstheme="minorHAnsi"/>
                <w:kern w:val="0"/>
                <w:sz w:val="20"/>
                <w:szCs w:val="20"/>
                <w:lang w:eastAsia="en-US" w:bidi="ar-SA"/>
              </w:rPr>
              <w:t>98,9</w:t>
            </w:r>
          </w:p>
        </w:tc>
      </w:tr>
      <w:tr>
        <w:trPr>
          <w:trHeight w:val="328" w:hRule="atLeast"/>
        </w:trPr>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9" w:hanging="0"/>
              <w:jc w:val="center"/>
              <w:rPr>
                <w:rFonts w:eastAsia="Times New Roman" w:cs="Calibri" w:cstheme="minorHAnsi"/>
                <w:sz w:val="20"/>
                <w:szCs w:val="20"/>
              </w:rPr>
            </w:pPr>
            <w:r>
              <w:rPr>
                <w:rFonts w:eastAsia="Times New Roman" w:cs="Calibri" w:cstheme="minorHAnsi"/>
                <w:kern w:val="0"/>
                <w:sz w:val="20"/>
                <w:szCs w:val="20"/>
                <w:lang w:eastAsia="en-US" w:bidi="ar-SA"/>
              </w:rPr>
              <w:t>PL2602</w:t>
            </w:r>
          </w:p>
        </w:tc>
        <w:tc>
          <w:tcPr>
            <w:tcW w:w="12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72" w:after="0"/>
              <w:ind w:right="106" w:hanging="0"/>
              <w:jc w:val="center"/>
              <w:rPr>
                <w:rFonts w:eastAsia="Times New Roman" w:cs="Calibri" w:cstheme="minorHAnsi"/>
                <w:sz w:val="20"/>
                <w:szCs w:val="20"/>
              </w:rPr>
            </w:pPr>
            <w:r>
              <w:rPr>
                <w:rFonts w:eastAsia="Times New Roman" w:cs="Calibri" w:cstheme="minorHAnsi"/>
                <w:kern w:val="0"/>
                <w:sz w:val="20"/>
                <w:szCs w:val="20"/>
                <w:lang w:eastAsia="en-US" w:bidi="ar-SA"/>
              </w:rPr>
              <w:t>strefa</w:t>
            </w:r>
            <w:r>
              <w:rPr>
                <w:rFonts w:eastAsia="Times New Roman" w:cs="Calibri" w:cstheme="minorHAnsi"/>
                <w:spacing w:val="1"/>
                <w:kern w:val="0"/>
                <w:sz w:val="20"/>
                <w:szCs w:val="20"/>
                <w:lang w:eastAsia="en-US" w:bidi="ar-SA"/>
              </w:rPr>
              <w:t xml:space="preserve"> </w:t>
            </w:r>
            <w:r>
              <w:rPr>
                <w:rFonts w:eastAsia="Times New Roman" w:cs="Calibri" w:cstheme="minorHAnsi"/>
                <w:spacing w:val="-1"/>
                <w:kern w:val="0"/>
                <w:sz w:val="20"/>
                <w:szCs w:val="20"/>
                <w:lang w:eastAsia="en-US" w:bidi="ar-SA"/>
              </w:rPr>
              <w:t>świętokrzyska</w:t>
            </w:r>
          </w:p>
        </w:tc>
        <w:tc>
          <w:tcPr>
            <w:tcW w:w="18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4" w:hanging="0"/>
              <w:jc w:val="center"/>
              <w:rPr>
                <w:rFonts w:eastAsia="Times New Roman" w:cs="Calibri" w:cstheme="minorHAnsi"/>
                <w:sz w:val="20"/>
                <w:szCs w:val="20"/>
              </w:rPr>
            </w:pPr>
            <w:r>
              <w:rPr>
                <w:rFonts w:eastAsia="Times New Roman" w:cs="Calibri" w:cstheme="minorHAnsi"/>
                <w:kern w:val="0"/>
                <w:sz w:val="20"/>
                <w:szCs w:val="20"/>
                <w:lang w:eastAsia="en-US" w:bidi="ar-SA"/>
              </w:rPr>
              <w:t>Poziom</w:t>
            </w:r>
            <w:r>
              <w:rPr>
                <w:rFonts w:eastAsia="Times New Roman" w:cs="Calibri" w:cstheme="minorHAnsi"/>
                <w:spacing w:val="-3"/>
                <w:kern w:val="0"/>
                <w:sz w:val="20"/>
                <w:szCs w:val="20"/>
                <w:lang w:eastAsia="en-US" w:bidi="ar-SA"/>
              </w:rPr>
              <w:t xml:space="preserve"> </w:t>
            </w:r>
            <w:r>
              <w:rPr>
                <w:rFonts w:eastAsia="Times New Roman" w:cs="Calibri" w:cstheme="minorHAnsi"/>
                <w:kern w:val="0"/>
                <w:sz w:val="20"/>
                <w:szCs w:val="20"/>
                <w:lang w:eastAsia="en-US" w:bidi="ar-SA"/>
              </w:rPr>
              <w:t>docelowy</w:t>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sz w:val="20"/>
                <w:szCs w:val="20"/>
              </w:rPr>
            </w:pPr>
            <w:r>
              <w:rPr>
                <w:rFonts w:eastAsia="Times New Roman" w:cs="Calibri" w:cstheme="minorHAnsi"/>
                <w:kern w:val="0"/>
                <w:sz w:val="20"/>
                <w:szCs w:val="20"/>
                <w:lang w:eastAsia="en-US" w:bidi="ar-SA"/>
              </w:rPr>
              <w:t>Śr.</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roczna</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37" w:hanging="0"/>
              <w:jc w:val="center"/>
              <w:rPr>
                <w:rFonts w:eastAsia="Times New Roman" w:cs="Calibri" w:cstheme="minorHAnsi"/>
                <w:sz w:val="20"/>
                <w:szCs w:val="20"/>
              </w:rPr>
            </w:pPr>
            <w:r>
              <w:rPr>
                <w:rFonts w:eastAsia="Times New Roman" w:cs="Calibri" w:cstheme="minorHAnsi"/>
                <w:kern w:val="0"/>
                <w:sz w:val="20"/>
                <w:szCs w:val="20"/>
                <w:lang w:eastAsia="en-US" w:bidi="ar-SA"/>
              </w:rPr>
              <w:t>1 875,4</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80" w:hanging="0"/>
              <w:jc w:val="center"/>
              <w:rPr>
                <w:rFonts w:eastAsia="Times New Roman" w:cs="Calibri" w:cstheme="minorHAnsi"/>
                <w:sz w:val="20"/>
                <w:szCs w:val="20"/>
              </w:rPr>
            </w:pPr>
            <w:r>
              <w:rPr>
                <w:rFonts w:eastAsia="Times New Roman" w:cs="Calibri" w:cstheme="minorHAnsi"/>
                <w:kern w:val="0"/>
                <w:sz w:val="20"/>
                <w:szCs w:val="20"/>
                <w:lang w:eastAsia="en-US" w:bidi="ar-SA"/>
              </w:rPr>
              <w:t>16,2</w:t>
            </w:r>
          </w:p>
        </w:tc>
        <w:tc>
          <w:tcPr>
            <w:tcW w:w="1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2" w:hanging="0"/>
              <w:jc w:val="center"/>
              <w:rPr>
                <w:rFonts w:eastAsia="Times New Roman" w:cs="Calibri" w:cstheme="minorHAnsi"/>
                <w:sz w:val="20"/>
                <w:szCs w:val="20"/>
              </w:rPr>
            </w:pPr>
            <w:r>
              <w:rPr>
                <w:rFonts w:eastAsia="Times New Roman" w:cs="Calibri" w:cstheme="minorHAnsi"/>
                <w:kern w:val="0"/>
                <w:sz w:val="20"/>
                <w:szCs w:val="20"/>
                <w:lang w:eastAsia="en-US" w:bidi="ar-SA"/>
              </w:rPr>
              <w:t>517</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159</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1" w:hanging="0"/>
              <w:jc w:val="center"/>
              <w:rPr>
                <w:rFonts w:eastAsia="Times New Roman" w:cs="Calibri" w:cstheme="minorHAnsi"/>
                <w:sz w:val="20"/>
                <w:szCs w:val="20"/>
              </w:rPr>
            </w:pPr>
            <w:r>
              <w:rPr>
                <w:rFonts w:eastAsia="Times New Roman" w:cs="Calibri" w:cstheme="minorHAnsi"/>
                <w:kern w:val="0"/>
                <w:sz w:val="20"/>
                <w:szCs w:val="20"/>
                <w:lang w:eastAsia="en-US" w:bidi="ar-SA"/>
              </w:rPr>
              <w:t>49,8</w:t>
            </w:r>
          </w:p>
        </w:tc>
      </w:tr>
      <w:tr>
        <w:trPr>
          <w:trHeight w:val="258" w:hRule="atLeast"/>
        </w:trPr>
        <w:tc>
          <w:tcPr>
            <w:tcW w:w="10754" w:type="dxa"/>
            <w:gridSpan w:val="8"/>
            <w:tcBorders>
              <w:top w:val="single" w:sz="4" w:space="0" w:color="000000"/>
              <w:left w:val="single" w:sz="4" w:space="0" w:color="000000"/>
              <w:bottom w:val="single" w:sz="4" w:space="0" w:color="000000"/>
              <w:right w:val="single" w:sz="4" w:space="0" w:color="000000"/>
            </w:tcBorders>
            <w:shd w:color="auto" w:fill="F1F1F1" w:val="clear"/>
            <w:vAlign w:val="center"/>
          </w:tcPr>
          <w:p>
            <w:pPr>
              <w:pStyle w:val="Normal"/>
              <w:widowControl w:val="false"/>
              <w:spacing w:lineRule="auto" w:line="240" w:before="113" w:after="0"/>
              <w:ind w:left="71"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Ozon</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 ochrona zdrowia</w:t>
            </w:r>
          </w:p>
        </w:tc>
      </w:tr>
      <w:tr>
        <w:trPr>
          <w:trHeight w:val="327" w:hRule="atLeast"/>
        </w:trPr>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9" w:hanging="0"/>
              <w:jc w:val="center"/>
              <w:rPr>
                <w:rFonts w:eastAsia="Times New Roman" w:cs="Calibri" w:cstheme="minorHAnsi"/>
                <w:sz w:val="20"/>
                <w:szCs w:val="20"/>
              </w:rPr>
            </w:pPr>
            <w:r>
              <w:rPr>
                <w:rFonts w:eastAsia="Times New Roman" w:cs="Calibri" w:cstheme="minorHAnsi"/>
                <w:kern w:val="0"/>
                <w:sz w:val="20"/>
                <w:szCs w:val="20"/>
                <w:lang w:eastAsia="en-US" w:bidi="ar-SA"/>
              </w:rPr>
              <w:t>PL2601</w:t>
            </w:r>
          </w:p>
        </w:tc>
        <w:tc>
          <w:tcPr>
            <w:tcW w:w="12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29" w:hanging="0"/>
              <w:jc w:val="center"/>
              <w:rPr>
                <w:rFonts w:eastAsia="Times New Roman" w:cs="Calibri" w:cstheme="minorHAnsi"/>
                <w:sz w:val="20"/>
                <w:szCs w:val="20"/>
              </w:rPr>
            </w:pPr>
            <w:r>
              <w:rPr>
                <w:rFonts w:eastAsia="Times New Roman" w:cs="Calibri" w:cstheme="minorHAnsi"/>
                <w:kern w:val="0"/>
                <w:sz w:val="20"/>
                <w:szCs w:val="20"/>
                <w:lang w:eastAsia="en-US" w:bidi="ar-SA"/>
              </w:rPr>
              <w:t>miasto Kielce</w:t>
            </w:r>
          </w:p>
        </w:tc>
        <w:tc>
          <w:tcPr>
            <w:tcW w:w="18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71" w:after="0"/>
              <w:ind w:left="141" w:right="86" w:hanging="0"/>
              <w:jc w:val="center"/>
              <w:rPr>
                <w:rFonts w:eastAsia="Times New Roman" w:cs="Calibri" w:cstheme="minorHAnsi"/>
                <w:sz w:val="20"/>
                <w:szCs w:val="20"/>
              </w:rPr>
            </w:pPr>
            <w:r>
              <w:rPr>
                <w:rFonts w:eastAsia="Times New Roman" w:cs="Calibri" w:cstheme="minorHAnsi"/>
                <w:kern w:val="0"/>
                <w:sz w:val="20"/>
                <w:szCs w:val="20"/>
                <w:lang w:eastAsia="en-US" w:bidi="ar-SA"/>
              </w:rPr>
              <w:t>Poziom celu</w:t>
            </w:r>
            <w:r>
              <w:rPr>
                <w:rFonts w:eastAsia="Times New Roman" w:cs="Calibri" w:cstheme="minorHAnsi"/>
                <w:spacing w:val="1"/>
                <w:kern w:val="0"/>
                <w:sz w:val="20"/>
                <w:szCs w:val="20"/>
                <w:lang w:eastAsia="en-US" w:bidi="ar-SA"/>
              </w:rPr>
              <w:t xml:space="preserve"> </w:t>
            </w:r>
            <w:r>
              <w:rPr>
                <w:rFonts w:eastAsia="Times New Roman" w:cs="Calibri" w:cstheme="minorHAnsi"/>
                <w:spacing w:val="-1"/>
                <w:kern w:val="0"/>
                <w:sz w:val="20"/>
                <w:szCs w:val="20"/>
                <w:lang w:eastAsia="en-US" w:bidi="ar-SA"/>
              </w:rPr>
              <w:t>długoterminowego</w:t>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sz w:val="20"/>
                <w:szCs w:val="20"/>
              </w:rPr>
            </w:pPr>
            <w:r>
              <w:rPr>
                <w:rFonts w:eastAsia="Times New Roman" w:cs="Calibri" w:cstheme="minorHAnsi"/>
                <w:kern w:val="0"/>
                <w:sz w:val="20"/>
                <w:szCs w:val="20"/>
                <w:lang w:eastAsia="en-US" w:bidi="ar-SA"/>
              </w:rPr>
              <w:t>Śr.</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8-godz.</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36" w:hanging="0"/>
              <w:jc w:val="center"/>
              <w:rPr>
                <w:rFonts w:eastAsia="Times New Roman" w:cs="Calibri" w:cstheme="minorHAnsi"/>
                <w:sz w:val="20"/>
                <w:szCs w:val="20"/>
              </w:rPr>
            </w:pPr>
            <w:r>
              <w:rPr>
                <w:rFonts w:eastAsia="Times New Roman" w:cs="Calibri" w:cstheme="minorHAnsi"/>
                <w:kern w:val="0"/>
                <w:sz w:val="20"/>
                <w:szCs w:val="20"/>
                <w:lang w:eastAsia="en-US" w:bidi="ar-SA"/>
              </w:rPr>
              <w:t>109,5</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81" w:hanging="0"/>
              <w:jc w:val="center"/>
              <w:rPr>
                <w:rFonts w:eastAsia="Times New Roman" w:cs="Calibri" w:cstheme="minorHAnsi"/>
                <w:sz w:val="20"/>
                <w:szCs w:val="20"/>
              </w:rPr>
            </w:pPr>
            <w:r>
              <w:rPr>
                <w:rFonts w:eastAsia="Times New Roman" w:cs="Calibri" w:cstheme="minorHAnsi"/>
                <w:kern w:val="0"/>
                <w:sz w:val="20"/>
                <w:szCs w:val="20"/>
                <w:lang w:eastAsia="en-US" w:bidi="ar-SA"/>
              </w:rPr>
              <w:t>99,5</w:t>
            </w:r>
          </w:p>
        </w:tc>
        <w:tc>
          <w:tcPr>
            <w:tcW w:w="1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2" w:hanging="0"/>
              <w:jc w:val="center"/>
              <w:rPr>
                <w:rFonts w:eastAsia="Times New Roman" w:cs="Calibri" w:cstheme="minorHAnsi"/>
                <w:sz w:val="20"/>
                <w:szCs w:val="20"/>
              </w:rPr>
            </w:pPr>
            <w:r>
              <w:rPr>
                <w:rFonts w:eastAsia="Times New Roman" w:cs="Calibri" w:cstheme="minorHAnsi"/>
                <w:kern w:val="0"/>
                <w:sz w:val="20"/>
                <w:szCs w:val="20"/>
                <w:lang w:eastAsia="en-US" w:bidi="ar-SA"/>
              </w:rPr>
              <w:t>194</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102</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1" w:hanging="0"/>
              <w:jc w:val="center"/>
              <w:rPr>
                <w:rFonts w:eastAsia="Times New Roman" w:cs="Calibri" w:cstheme="minorHAnsi"/>
                <w:sz w:val="20"/>
                <w:szCs w:val="20"/>
              </w:rPr>
            </w:pPr>
            <w:r>
              <w:rPr>
                <w:rFonts w:eastAsia="Times New Roman" w:cs="Calibri" w:cstheme="minorHAnsi"/>
                <w:kern w:val="0"/>
                <w:sz w:val="20"/>
                <w:szCs w:val="20"/>
                <w:lang w:eastAsia="en-US" w:bidi="ar-SA"/>
              </w:rPr>
              <w:t>99,6</w:t>
            </w:r>
          </w:p>
        </w:tc>
      </w:tr>
      <w:tr>
        <w:trPr>
          <w:trHeight w:val="329" w:hRule="atLeast"/>
        </w:trPr>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9" w:hanging="0"/>
              <w:jc w:val="center"/>
              <w:rPr>
                <w:rFonts w:eastAsia="Times New Roman" w:cs="Calibri" w:cstheme="minorHAnsi"/>
                <w:sz w:val="20"/>
                <w:szCs w:val="20"/>
              </w:rPr>
            </w:pPr>
            <w:r>
              <w:rPr>
                <w:rFonts w:eastAsia="Times New Roman" w:cs="Calibri" w:cstheme="minorHAnsi"/>
                <w:kern w:val="0"/>
                <w:sz w:val="20"/>
                <w:szCs w:val="20"/>
                <w:lang w:eastAsia="en-US" w:bidi="ar-SA"/>
              </w:rPr>
              <w:t>PL2602</w:t>
            </w:r>
          </w:p>
        </w:tc>
        <w:tc>
          <w:tcPr>
            <w:tcW w:w="12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74" w:after="0"/>
              <w:ind w:right="106" w:hanging="0"/>
              <w:jc w:val="center"/>
              <w:rPr>
                <w:rFonts w:eastAsia="Times New Roman" w:cs="Calibri" w:cstheme="minorHAnsi"/>
                <w:sz w:val="20"/>
                <w:szCs w:val="20"/>
              </w:rPr>
            </w:pPr>
            <w:r>
              <w:rPr>
                <w:rFonts w:eastAsia="Times New Roman" w:cs="Calibri" w:cstheme="minorHAnsi"/>
                <w:kern w:val="0"/>
                <w:sz w:val="20"/>
                <w:szCs w:val="20"/>
                <w:lang w:eastAsia="en-US" w:bidi="ar-SA"/>
              </w:rPr>
              <w:t>strefa</w:t>
            </w:r>
            <w:r>
              <w:rPr>
                <w:rFonts w:eastAsia="Times New Roman" w:cs="Calibri" w:cstheme="minorHAnsi"/>
                <w:spacing w:val="1"/>
                <w:kern w:val="0"/>
                <w:sz w:val="20"/>
                <w:szCs w:val="20"/>
                <w:lang w:eastAsia="en-US" w:bidi="ar-SA"/>
              </w:rPr>
              <w:t xml:space="preserve"> </w:t>
            </w:r>
            <w:r>
              <w:rPr>
                <w:rFonts w:eastAsia="Times New Roman" w:cs="Calibri" w:cstheme="minorHAnsi"/>
                <w:spacing w:val="-1"/>
                <w:kern w:val="0"/>
                <w:sz w:val="20"/>
                <w:szCs w:val="20"/>
                <w:lang w:eastAsia="en-US" w:bidi="ar-SA"/>
              </w:rPr>
              <w:t>świętokrzyska</w:t>
            </w:r>
          </w:p>
        </w:tc>
        <w:tc>
          <w:tcPr>
            <w:tcW w:w="18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74" w:after="0"/>
              <w:ind w:left="100" w:right="86" w:firstLine="232"/>
              <w:jc w:val="center"/>
              <w:rPr>
                <w:rFonts w:eastAsia="Times New Roman" w:cs="Calibri" w:cstheme="minorHAnsi"/>
                <w:sz w:val="20"/>
                <w:szCs w:val="20"/>
              </w:rPr>
            </w:pPr>
            <w:r>
              <w:rPr>
                <w:rFonts w:eastAsia="Times New Roman" w:cs="Calibri" w:cstheme="minorHAnsi"/>
                <w:kern w:val="0"/>
                <w:sz w:val="20"/>
                <w:szCs w:val="20"/>
                <w:lang w:eastAsia="en-US" w:bidi="ar-SA"/>
              </w:rPr>
              <w:t>Poziom celu</w:t>
            </w:r>
            <w:r>
              <w:rPr>
                <w:rFonts w:eastAsia="Times New Roman" w:cs="Calibri" w:cstheme="minorHAnsi"/>
                <w:spacing w:val="1"/>
                <w:kern w:val="0"/>
                <w:sz w:val="20"/>
                <w:szCs w:val="20"/>
                <w:lang w:eastAsia="en-US" w:bidi="ar-SA"/>
              </w:rPr>
              <w:t xml:space="preserve"> </w:t>
            </w:r>
            <w:r>
              <w:rPr>
                <w:rFonts w:eastAsia="Times New Roman" w:cs="Calibri" w:cstheme="minorHAnsi"/>
                <w:spacing w:val="-1"/>
                <w:kern w:val="0"/>
                <w:sz w:val="20"/>
                <w:szCs w:val="20"/>
                <w:lang w:eastAsia="en-US" w:bidi="ar-SA"/>
              </w:rPr>
              <w:t>długoterminowego</w:t>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sz w:val="20"/>
                <w:szCs w:val="20"/>
              </w:rPr>
            </w:pPr>
            <w:r>
              <w:rPr>
                <w:rFonts w:eastAsia="Times New Roman" w:cs="Calibri" w:cstheme="minorHAnsi"/>
                <w:kern w:val="0"/>
                <w:sz w:val="20"/>
                <w:szCs w:val="20"/>
                <w:lang w:eastAsia="en-US" w:bidi="ar-SA"/>
              </w:rPr>
              <w:t>Śr.</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8-godz.</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37" w:hanging="0"/>
              <w:jc w:val="center"/>
              <w:rPr>
                <w:rFonts w:eastAsia="Times New Roman" w:cs="Calibri" w:cstheme="minorHAnsi"/>
                <w:sz w:val="20"/>
                <w:szCs w:val="20"/>
              </w:rPr>
            </w:pPr>
            <w:r>
              <w:rPr>
                <w:rFonts w:eastAsia="Times New Roman" w:cs="Calibri" w:cstheme="minorHAnsi"/>
                <w:kern w:val="0"/>
                <w:sz w:val="20"/>
                <w:szCs w:val="20"/>
                <w:lang w:eastAsia="en-US" w:bidi="ar-SA"/>
              </w:rPr>
              <w:t>8 051,4</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380" w:hanging="0"/>
              <w:jc w:val="center"/>
              <w:rPr>
                <w:rFonts w:eastAsia="Times New Roman" w:cs="Calibri" w:cstheme="minorHAnsi"/>
                <w:sz w:val="20"/>
                <w:szCs w:val="20"/>
              </w:rPr>
            </w:pPr>
            <w:r>
              <w:rPr>
                <w:rFonts w:eastAsia="Times New Roman" w:cs="Calibri" w:cstheme="minorHAnsi"/>
                <w:kern w:val="0"/>
                <w:sz w:val="20"/>
                <w:szCs w:val="20"/>
                <w:lang w:eastAsia="en-US" w:bidi="ar-SA"/>
              </w:rPr>
              <w:t>69,4</w:t>
            </w:r>
          </w:p>
        </w:tc>
        <w:tc>
          <w:tcPr>
            <w:tcW w:w="1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2" w:hanging="0"/>
              <w:jc w:val="center"/>
              <w:rPr>
                <w:rFonts w:eastAsia="Times New Roman" w:cs="Calibri" w:cstheme="minorHAnsi"/>
                <w:sz w:val="20"/>
                <w:szCs w:val="20"/>
              </w:rPr>
            </w:pPr>
            <w:r>
              <w:rPr>
                <w:rFonts w:eastAsia="Times New Roman" w:cs="Calibri" w:cstheme="minorHAnsi"/>
                <w:kern w:val="0"/>
                <w:sz w:val="20"/>
                <w:szCs w:val="20"/>
                <w:lang w:eastAsia="en-US" w:bidi="ar-SA"/>
              </w:rPr>
              <w:t>708</w:t>
            </w:r>
            <w:r>
              <w:rPr>
                <w:rFonts w:eastAsia="Times New Roman" w:cs="Calibri" w:cstheme="minorHAnsi"/>
                <w:spacing w:val="-1"/>
                <w:kern w:val="0"/>
                <w:sz w:val="20"/>
                <w:szCs w:val="20"/>
                <w:lang w:eastAsia="en-US" w:bidi="ar-SA"/>
              </w:rPr>
              <w:t xml:space="preserve"> </w:t>
            </w:r>
            <w:r>
              <w:rPr>
                <w:rFonts w:eastAsia="Times New Roman" w:cs="Calibri" w:cstheme="minorHAnsi"/>
                <w:kern w:val="0"/>
                <w:sz w:val="20"/>
                <w:szCs w:val="20"/>
                <w:lang w:eastAsia="en-US" w:bidi="ar-SA"/>
              </w:rPr>
              <w:t>794</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61" w:hanging="0"/>
              <w:jc w:val="center"/>
              <w:rPr>
                <w:rFonts w:eastAsia="Times New Roman" w:cs="Calibri" w:cstheme="minorHAnsi"/>
                <w:sz w:val="20"/>
                <w:szCs w:val="20"/>
              </w:rPr>
            </w:pPr>
            <w:r>
              <w:rPr>
                <w:rFonts w:eastAsia="Times New Roman" w:cs="Calibri" w:cstheme="minorHAnsi"/>
                <w:kern w:val="0"/>
                <w:sz w:val="20"/>
                <w:szCs w:val="20"/>
                <w:lang w:eastAsia="en-US" w:bidi="ar-SA"/>
              </w:rPr>
              <w:t>68,2</w:t>
            </w:r>
          </w:p>
        </w:tc>
      </w:tr>
    </w:tbl>
    <w:p>
      <w:pPr>
        <w:pStyle w:val="Normal"/>
        <w:widowControl w:val="false"/>
        <w:tabs>
          <w:tab w:val="clear" w:pos="720"/>
          <w:tab w:val="left" w:pos="478" w:leader="none"/>
        </w:tabs>
        <w:spacing w:lineRule="auto" w:line="240" w:before="0" w:after="0"/>
        <w:jc w:val="center"/>
        <w:rPr>
          <w:rFonts w:eastAsia="Arimo" w:cs="Calibri" w:cstheme="minorHAnsi"/>
        </w:rPr>
      </w:pPr>
      <w:r>
        <w:rPr>
          <w:rFonts w:cs="Calibri" w:cstheme="minorHAnsi"/>
        </w:rPr>
        <w:t xml:space="preserve">Źródło: </w:t>
      </w:r>
      <w:r>
        <w:rPr>
          <w:rFonts w:eastAsia="Arimo" w:cs="Calibri" w:cstheme="minorHAnsi"/>
        </w:rPr>
        <w:t>Roczna ocena jakości powietrza w województwie świętokrzyskim</w:t>
      </w:r>
    </w:p>
    <w:p>
      <w:pPr>
        <w:pStyle w:val="Normal"/>
        <w:widowControl w:val="false"/>
        <w:tabs>
          <w:tab w:val="clear" w:pos="720"/>
          <w:tab w:val="left" w:pos="478" w:leader="none"/>
        </w:tabs>
        <w:spacing w:lineRule="auto" w:line="240" w:before="0" w:after="0"/>
        <w:jc w:val="center"/>
        <w:rPr>
          <w:rFonts w:eastAsia="Arimo" w:cs="Calibri" w:cstheme="minorHAnsi"/>
        </w:rPr>
      </w:pPr>
      <w:r>
        <w:rPr>
          <w:rFonts w:eastAsia="Arimo" w:cs="Calibri" w:cstheme="minorHAnsi"/>
        </w:rPr>
        <w:t>(raport wojewódzki za rok 2020)</w:t>
      </w:r>
    </w:p>
    <w:p>
      <w:pPr>
        <w:pStyle w:val="Normal"/>
        <w:spacing w:lineRule="auto" w:line="240" w:before="0" w:after="0"/>
        <w:jc w:val="center"/>
        <w:rPr>
          <w:rFonts w:cs="Calibri" w:cstheme="minorHAnsi"/>
          <w:color w:val="FF0000"/>
          <w:highlight w:val="yellow"/>
        </w:rPr>
      </w:pPr>
      <w:r>
        <w:rPr>
          <w:rFonts w:cs="Calibri" w:cstheme="minorHAnsi"/>
          <w:color w:val="FF0000"/>
          <w:highlight w:val="yellow"/>
        </w:rPr>
      </w:r>
    </w:p>
    <w:p>
      <w:pPr>
        <w:pStyle w:val="Normal"/>
        <w:spacing w:lineRule="auto" w:line="240" w:before="0" w:after="0"/>
        <w:jc w:val="center"/>
        <w:rPr>
          <w:rFonts w:cs="Calibri" w:cstheme="minorHAnsi"/>
          <w:b/>
          <w:b/>
          <w:bCs/>
          <w:sz w:val="20"/>
          <w:szCs w:val="20"/>
        </w:rPr>
      </w:pPr>
      <w:bookmarkStart w:id="57" w:name="_Toc118887758"/>
      <w:bookmarkStart w:id="58" w:name="_Toc114224873"/>
      <w:bookmarkStart w:id="59" w:name="_Toc113967495"/>
      <w:r>
        <w:rPr>
          <w:rFonts w:cs="Calibri" w:cstheme="minorHAnsi"/>
          <w:sz w:val="20"/>
          <w:szCs w:val="20"/>
        </w:rPr>
        <w:t xml:space="preserve">Tabela </w:t>
      </w:r>
      <w:r>
        <w:rPr>
          <w:rFonts w:cs="Calibri" w:cstheme="minorHAnsi"/>
          <w:b/>
          <w:bCs/>
          <w:sz w:val="20"/>
          <w:szCs w:val="20"/>
        </w:rPr>
        <w:fldChar w:fldCharType="begin"/>
      </w:r>
      <w:r>
        <w:rPr>
          <w:sz w:val="20"/>
          <w:b/>
          <w:szCs w:val="20"/>
          <w:bCs/>
          <w:rFonts w:cs="Calibri"/>
        </w:rPr>
        <w:instrText xml:space="preserve"> SEQ Tabela \* ARABIC </w:instrText>
      </w:r>
      <w:r>
        <w:rPr>
          <w:sz w:val="20"/>
          <w:b/>
          <w:szCs w:val="20"/>
          <w:bCs/>
          <w:rFonts w:cs="Calibri"/>
        </w:rPr>
        <w:fldChar w:fldCharType="separate"/>
      </w:r>
      <w:r>
        <w:rPr>
          <w:sz w:val="20"/>
          <w:b/>
          <w:szCs w:val="20"/>
          <w:bCs/>
          <w:rFonts w:cs="Calibri"/>
        </w:rPr>
        <w:t>9</w:t>
      </w:r>
      <w:r>
        <w:rPr>
          <w:sz w:val="20"/>
          <w:b/>
          <w:szCs w:val="20"/>
          <w:bCs/>
          <w:rFonts w:cs="Calibri"/>
        </w:rPr>
        <w:fldChar w:fldCharType="end"/>
      </w:r>
      <w:r>
        <w:rPr>
          <w:rFonts w:cs="Calibri" w:cstheme="minorHAnsi"/>
          <w:sz w:val="20"/>
          <w:szCs w:val="20"/>
        </w:rPr>
        <w:t xml:space="preserve"> Zestawienie informacji dotyczących obszarów przekroczeń dla poszczególnych zanieczyszczeń </w:t>
        <w:br/>
        <w:t>w roku 2020 w województwie świętokrzyskim z uwzględnieniem kryterium określonego w celu ochrony roślin</w:t>
      </w:r>
      <w:bookmarkEnd w:id="57"/>
      <w:bookmarkEnd w:id="58"/>
      <w:bookmarkEnd w:id="59"/>
      <w:r>
        <w:rPr>
          <w:rFonts w:cs="Calibri" w:cstheme="minorHAnsi"/>
          <w:sz w:val="20"/>
          <w:szCs w:val="20"/>
        </w:rPr>
        <w:t xml:space="preserve"> </w:t>
      </w:r>
    </w:p>
    <w:tbl>
      <w:tblPr>
        <w:tblStyle w:val="TableNormal"/>
        <w:tblW w:w="10348" w:type="dxa"/>
        <w:jc w:val="left"/>
        <w:tblInd w:w="-572" w:type="dxa"/>
        <w:tblLayout w:type="fixed"/>
        <w:tblCellMar>
          <w:top w:w="0" w:type="dxa"/>
          <w:left w:w="5" w:type="dxa"/>
          <w:bottom w:w="0" w:type="dxa"/>
          <w:right w:w="5" w:type="dxa"/>
        </w:tblCellMar>
        <w:tblLook w:firstRow="1" w:noVBand="0" w:lastRow="1" w:firstColumn="1" w:lastColumn="1" w:noHBand="0" w:val="01e0"/>
      </w:tblPr>
      <w:tblGrid>
        <w:gridCol w:w="1206"/>
        <w:gridCol w:w="1171"/>
        <w:gridCol w:w="1878"/>
        <w:gridCol w:w="1051"/>
        <w:gridCol w:w="1383"/>
        <w:gridCol w:w="1532"/>
        <w:gridCol w:w="2126"/>
      </w:tblGrid>
      <w:tr>
        <w:trPr>
          <w:trHeight w:val="1430" w:hRule="atLeast"/>
        </w:trPr>
        <w:tc>
          <w:tcPr>
            <w:tcW w:w="1206"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1" w:after="0"/>
              <w:ind w:left="74" w:right="110"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Kod</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strefy</w:t>
            </w:r>
          </w:p>
        </w:tc>
        <w:tc>
          <w:tcPr>
            <w:tcW w:w="1171"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40" w:before="137" w:after="0"/>
              <w:jc w:val="center"/>
              <w:rPr>
                <w:rFonts w:eastAsia="Times New Roman" w:cs="Calibri" w:cstheme="minorHAnsi"/>
                <w:b/>
                <w:b/>
                <w:sz w:val="20"/>
                <w:szCs w:val="20"/>
              </w:rPr>
            </w:pPr>
            <w:r>
              <w:rPr>
                <w:rFonts w:eastAsia="Times New Roman" w:cs="Calibri" w:cstheme="minorHAnsi"/>
                <w:b/>
                <w:kern w:val="0"/>
                <w:sz w:val="20"/>
                <w:szCs w:val="20"/>
                <w:lang w:eastAsia="en-US" w:bidi="ar-SA"/>
              </w:rPr>
              <w:t>Nazwa</w:t>
            </w:r>
            <w:r>
              <w:rPr>
                <w:rFonts w:eastAsia="Times New Roman" w:cs="Calibri" w:cstheme="minorHAnsi"/>
                <w:b/>
                <w:spacing w:val="-2"/>
                <w:kern w:val="0"/>
                <w:sz w:val="20"/>
                <w:szCs w:val="20"/>
                <w:lang w:eastAsia="en-US" w:bidi="ar-SA"/>
              </w:rPr>
              <w:t xml:space="preserve"> </w:t>
            </w:r>
            <w:r>
              <w:rPr>
                <w:rFonts w:eastAsia="Times New Roman" w:cs="Calibri" w:cstheme="minorHAnsi"/>
                <w:b/>
                <w:kern w:val="0"/>
                <w:sz w:val="20"/>
                <w:szCs w:val="20"/>
                <w:lang w:eastAsia="en-US" w:bidi="ar-SA"/>
              </w:rPr>
              <w:t>strefy</w:t>
            </w:r>
          </w:p>
        </w:tc>
        <w:tc>
          <w:tcPr>
            <w:tcW w:w="1878"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40" w:before="137" w:after="0"/>
              <w:jc w:val="center"/>
              <w:rPr>
                <w:rFonts w:eastAsia="Times New Roman" w:cs="Calibri" w:cstheme="minorHAnsi"/>
                <w:b/>
                <w:b/>
                <w:sz w:val="20"/>
                <w:szCs w:val="20"/>
              </w:rPr>
            </w:pPr>
            <w:r>
              <w:rPr>
                <w:rFonts w:eastAsia="Times New Roman" w:cs="Calibri" w:cstheme="minorHAnsi"/>
                <w:b/>
                <w:kern w:val="0"/>
                <w:sz w:val="20"/>
                <w:szCs w:val="20"/>
                <w:lang w:eastAsia="en-US" w:bidi="ar-SA"/>
              </w:rPr>
              <w:t>Typ</w:t>
            </w:r>
            <w:r>
              <w:rPr>
                <w:rFonts w:eastAsia="Times New Roman" w:cs="Calibri" w:cstheme="minorHAnsi"/>
                <w:b/>
                <w:spacing w:val="-4"/>
                <w:kern w:val="0"/>
                <w:sz w:val="20"/>
                <w:szCs w:val="20"/>
                <w:lang w:eastAsia="en-US" w:bidi="ar-SA"/>
              </w:rPr>
              <w:t xml:space="preserve"> </w:t>
            </w:r>
            <w:r>
              <w:rPr>
                <w:rFonts w:eastAsia="Times New Roman" w:cs="Calibri" w:cstheme="minorHAnsi"/>
                <w:b/>
                <w:kern w:val="0"/>
                <w:sz w:val="20"/>
                <w:szCs w:val="20"/>
                <w:lang w:eastAsia="en-US" w:bidi="ar-SA"/>
              </w:rPr>
              <w:t>normy</w:t>
            </w:r>
          </w:p>
        </w:tc>
        <w:tc>
          <w:tcPr>
            <w:tcW w:w="1051"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127" w:after="0"/>
              <w:ind w:right="58"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Czas</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uśredniania</w:t>
            </w:r>
            <w:r>
              <w:rPr>
                <w:rFonts w:eastAsia="Times New Roman" w:cs="Calibri" w:cstheme="minorHAnsi"/>
                <w:b/>
                <w:spacing w:val="-42"/>
                <w:kern w:val="0"/>
                <w:sz w:val="20"/>
                <w:szCs w:val="20"/>
                <w:lang w:eastAsia="en-US" w:bidi="ar-SA"/>
              </w:rPr>
              <w:t xml:space="preserve"> </w:t>
            </w:r>
            <w:r>
              <w:rPr>
                <w:rFonts w:eastAsia="Times New Roman" w:cs="Calibri" w:cstheme="minorHAnsi"/>
                <w:b/>
                <w:kern w:val="0"/>
                <w:sz w:val="20"/>
                <w:szCs w:val="20"/>
                <w:lang w:eastAsia="en-US" w:bidi="ar-SA"/>
              </w:rPr>
              <w:t>(parametr)</w:t>
            </w:r>
          </w:p>
        </w:tc>
        <w:tc>
          <w:tcPr>
            <w:tcW w:w="1383"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0" w:after="0"/>
              <w:ind w:right="134"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Powierzchnia</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obszaru</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przekroczenia</w:t>
            </w:r>
            <w:r>
              <w:rPr>
                <w:rFonts w:eastAsia="Times New Roman" w:cs="Calibri" w:cstheme="minorHAnsi"/>
                <w:b/>
                <w:spacing w:val="-42"/>
                <w:kern w:val="0"/>
                <w:sz w:val="20"/>
                <w:szCs w:val="20"/>
                <w:lang w:eastAsia="en-US" w:bidi="ar-SA"/>
              </w:rPr>
              <w:t xml:space="preserve"> </w:t>
            </w:r>
            <w:r>
              <w:rPr>
                <w:rFonts w:eastAsia="Times New Roman" w:cs="Calibri" w:cstheme="minorHAnsi"/>
                <w:b/>
                <w:kern w:val="0"/>
                <w:sz w:val="20"/>
                <w:szCs w:val="20"/>
                <w:lang w:eastAsia="en-US" w:bidi="ar-SA"/>
              </w:rPr>
              <w:t>[km</w:t>
            </w:r>
            <w:r>
              <w:rPr>
                <w:rFonts w:eastAsia="Times New Roman" w:cs="Calibri" w:cstheme="minorHAnsi"/>
                <w:b/>
                <w:kern w:val="0"/>
                <w:sz w:val="20"/>
                <w:szCs w:val="20"/>
                <w:vertAlign w:val="superscript"/>
                <w:lang w:eastAsia="en-US" w:bidi="ar-SA"/>
              </w:rPr>
              <w:t>2</w:t>
            </w:r>
            <w:r>
              <w:rPr>
                <w:rFonts w:eastAsia="Times New Roman" w:cs="Calibri" w:cstheme="minorHAnsi"/>
                <w:b/>
                <w:kern w:val="0"/>
                <w:sz w:val="20"/>
                <w:szCs w:val="20"/>
                <w:lang w:eastAsia="en-US" w:bidi="ar-SA"/>
              </w:rPr>
              <w:t>]</w:t>
            </w:r>
          </w:p>
        </w:tc>
        <w:tc>
          <w:tcPr>
            <w:tcW w:w="1532"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127" w:after="0"/>
              <w:ind w:right="82" w:hanging="0"/>
              <w:jc w:val="center"/>
              <w:rPr>
                <w:rFonts w:eastAsia="Times New Roman" w:cs="Calibri" w:cstheme="minorHAnsi"/>
                <w:b/>
                <w:b/>
                <w:sz w:val="20"/>
                <w:szCs w:val="20"/>
              </w:rPr>
            </w:pPr>
            <w:r>
              <w:rPr>
                <w:rFonts w:eastAsia="Times New Roman" w:cs="Calibri" w:cstheme="minorHAnsi"/>
                <w:b/>
                <w:kern w:val="0"/>
                <w:sz w:val="20"/>
                <w:szCs w:val="20"/>
                <w:lang w:eastAsia="en-US" w:bidi="ar-SA"/>
              </w:rPr>
              <w:t>Udział w</w:t>
            </w:r>
            <w:r>
              <w:rPr>
                <w:rFonts w:eastAsia="Times New Roman" w:cs="Calibri" w:cstheme="minorHAnsi"/>
                <w:b/>
                <w:spacing w:val="1"/>
                <w:kern w:val="0"/>
                <w:sz w:val="20"/>
                <w:szCs w:val="20"/>
                <w:lang w:eastAsia="en-US" w:bidi="ar-SA"/>
              </w:rPr>
              <w:t xml:space="preserve"> </w:t>
            </w:r>
            <w:r>
              <w:rPr>
                <w:rFonts w:eastAsia="Times New Roman" w:cs="Calibri" w:cstheme="minorHAnsi"/>
                <w:b/>
                <w:spacing w:val="-1"/>
                <w:kern w:val="0"/>
                <w:sz w:val="20"/>
                <w:szCs w:val="20"/>
                <w:lang w:eastAsia="en-US" w:bidi="ar-SA"/>
              </w:rPr>
              <w:t xml:space="preserve">powierzchni </w:t>
            </w:r>
            <w:r>
              <w:rPr>
                <w:rFonts w:eastAsia="Times New Roman" w:cs="Calibri" w:cstheme="minorHAnsi"/>
                <w:b/>
                <w:kern w:val="0"/>
                <w:sz w:val="20"/>
                <w:szCs w:val="20"/>
                <w:lang w:eastAsia="en-US" w:bidi="ar-SA"/>
              </w:rPr>
              <w:t>strefy</w:t>
            </w:r>
            <w:r>
              <w:rPr>
                <w:rFonts w:eastAsia="Times New Roman" w:cs="Calibri" w:cstheme="minorHAnsi"/>
                <w:b/>
                <w:spacing w:val="-42"/>
                <w:kern w:val="0"/>
                <w:sz w:val="20"/>
                <w:szCs w:val="20"/>
                <w:lang w:eastAsia="en-US" w:bidi="ar-SA"/>
              </w:rPr>
              <w:t xml:space="preserve"> </w:t>
            </w:r>
            <w:r>
              <w:rPr>
                <w:rFonts w:eastAsia="Times New Roman" w:cs="Calibri" w:cstheme="minorHAnsi"/>
                <w:b/>
                <w:kern w:val="0"/>
                <w:sz w:val="20"/>
                <w:szCs w:val="20"/>
                <w:lang w:eastAsia="en-US" w:bidi="ar-SA"/>
              </w:rPr>
              <w:t>[%]</w:t>
            </w:r>
          </w:p>
        </w:tc>
        <w:tc>
          <w:tcPr>
            <w:tcW w:w="2126" w:type="dxa"/>
            <w:tcBorders>
              <w:top w:val="single" w:sz="4" w:space="0" w:color="000000"/>
              <w:left w:val="single" w:sz="4" w:space="0" w:color="000000"/>
              <w:bottom w:val="single" w:sz="4" w:space="0" w:color="000000"/>
              <w:right w:val="single" w:sz="4" w:space="0" w:color="000000"/>
            </w:tcBorders>
            <w:shd w:color="auto" w:fill="D9E1F3" w:val="clear"/>
            <w:vAlign w:val="center"/>
          </w:tcPr>
          <w:p>
            <w:pPr>
              <w:pStyle w:val="Normal"/>
              <w:widowControl w:val="false"/>
              <w:spacing w:lineRule="auto" w:line="276" w:before="2" w:after="0"/>
              <w:ind w:left="5" w:hanging="1"/>
              <w:jc w:val="center"/>
              <w:rPr>
                <w:rFonts w:eastAsia="Times New Roman" w:cs="Calibri" w:cstheme="minorHAnsi"/>
                <w:b/>
                <w:b/>
                <w:sz w:val="20"/>
                <w:szCs w:val="20"/>
              </w:rPr>
            </w:pPr>
            <w:r>
              <w:rPr>
                <w:rFonts w:eastAsia="Times New Roman" w:cs="Calibri" w:cstheme="minorHAnsi"/>
                <w:b/>
                <w:kern w:val="0"/>
                <w:sz w:val="20"/>
                <w:szCs w:val="20"/>
                <w:lang w:eastAsia="en-US" w:bidi="ar-SA"/>
              </w:rPr>
              <w:t>Powierzchnia</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obszarów</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ekosystemów</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objętych</w:t>
            </w:r>
            <w:r>
              <w:rPr>
                <w:rFonts w:eastAsia="Times New Roman" w:cs="Calibri" w:cstheme="minorHAnsi"/>
                <w:b/>
                <w:spacing w:val="1"/>
                <w:kern w:val="0"/>
                <w:sz w:val="20"/>
                <w:szCs w:val="20"/>
                <w:lang w:eastAsia="en-US" w:bidi="ar-SA"/>
              </w:rPr>
              <w:t xml:space="preserve"> </w:t>
            </w:r>
            <w:r>
              <w:rPr>
                <w:rFonts w:eastAsia="Times New Roman" w:cs="Calibri" w:cstheme="minorHAnsi"/>
                <w:b/>
                <w:kern w:val="0"/>
                <w:sz w:val="20"/>
                <w:szCs w:val="20"/>
                <w:lang w:eastAsia="en-US" w:bidi="ar-SA"/>
              </w:rPr>
              <w:t>przekroczeniem [km</w:t>
            </w:r>
            <w:r>
              <w:rPr>
                <w:rFonts w:eastAsia="Times New Roman" w:cs="Calibri" w:cstheme="minorHAnsi"/>
                <w:b/>
                <w:kern w:val="0"/>
                <w:sz w:val="20"/>
                <w:szCs w:val="20"/>
                <w:vertAlign w:val="superscript"/>
                <w:lang w:eastAsia="en-US" w:bidi="ar-SA"/>
              </w:rPr>
              <w:t>2</w:t>
            </w:r>
            <w:r>
              <w:rPr>
                <w:rFonts w:eastAsia="Times New Roman" w:cs="Calibri" w:cstheme="minorHAnsi"/>
                <w:b/>
                <w:kern w:val="0"/>
                <w:sz w:val="20"/>
                <w:szCs w:val="20"/>
                <w:lang w:eastAsia="en-US" w:bidi="ar-SA"/>
              </w:rPr>
              <w:t>]</w:t>
            </w:r>
            <w:r>
              <w:rPr>
                <w:rFonts w:eastAsia="Times New Roman" w:cs="Calibri" w:cstheme="minorHAnsi"/>
                <w:b/>
                <w:kern w:val="0"/>
                <w:sz w:val="20"/>
                <w:szCs w:val="20"/>
                <w:vertAlign w:val="superscript"/>
                <w:lang w:eastAsia="en-US" w:bidi="ar-SA"/>
              </w:rPr>
              <w:t>*</w:t>
            </w:r>
          </w:p>
        </w:tc>
      </w:tr>
      <w:tr>
        <w:trPr>
          <w:trHeight w:val="70" w:hRule="atLeast"/>
        </w:trPr>
        <w:tc>
          <w:tcPr>
            <w:tcW w:w="10347" w:type="dxa"/>
            <w:gridSpan w:val="7"/>
            <w:tcBorders>
              <w:top w:val="single" w:sz="4" w:space="0" w:color="000000"/>
              <w:left w:val="single" w:sz="4" w:space="0" w:color="000000"/>
              <w:bottom w:val="single" w:sz="4" w:space="0" w:color="000000"/>
              <w:right w:val="single" w:sz="4" w:space="0" w:color="000000"/>
            </w:tcBorders>
            <w:shd w:color="auto" w:fill="F1F1F1"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b/>
                <w:kern w:val="0"/>
                <w:sz w:val="22"/>
                <w:szCs w:val="22"/>
                <w:lang w:eastAsia="en-US" w:bidi="ar-SA"/>
              </w:rPr>
              <w:t>Ozon</w:t>
            </w:r>
            <w:r>
              <w:rPr>
                <w:rFonts w:eastAsia="Times New Roman" w:cs="Calibri" w:cstheme="minorHAnsi"/>
                <w:b/>
                <w:spacing w:val="-2"/>
                <w:kern w:val="0"/>
                <w:sz w:val="22"/>
                <w:szCs w:val="22"/>
                <w:lang w:eastAsia="en-US" w:bidi="ar-SA"/>
              </w:rPr>
              <w:t xml:space="preserve"> </w:t>
            </w:r>
            <w:r>
              <w:rPr>
                <w:rFonts w:eastAsia="Times New Roman" w:cs="Calibri" w:cstheme="minorHAnsi"/>
                <w:b/>
                <w:kern w:val="0"/>
                <w:sz w:val="22"/>
                <w:szCs w:val="22"/>
                <w:lang w:eastAsia="en-US" w:bidi="ar-SA"/>
              </w:rPr>
              <w:t>– ochrona</w:t>
            </w:r>
            <w:r>
              <w:rPr>
                <w:rFonts w:eastAsia="Times New Roman" w:cs="Calibri" w:cstheme="minorHAnsi"/>
                <w:b/>
                <w:spacing w:val="-1"/>
                <w:kern w:val="0"/>
                <w:sz w:val="22"/>
                <w:szCs w:val="22"/>
                <w:lang w:eastAsia="en-US" w:bidi="ar-SA"/>
              </w:rPr>
              <w:t xml:space="preserve"> </w:t>
            </w:r>
            <w:r>
              <w:rPr>
                <w:rFonts w:eastAsia="Times New Roman" w:cs="Calibri" w:cstheme="minorHAnsi"/>
                <w:b/>
                <w:kern w:val="0"/>
                <w:sz w:val="22"/>
                <w:szCs w:val="22"/>
                <w:lang w:eastAsia="en-US" w:bidi="ar-SA"/>
              </w:rPr>
              <w:t>roślin</w:t>
            </w:r>
          </w:p>
        </w:tc>
      </w:tr>
      <w:tr>
        <w:trPr>
          <w:trHeight w:val="621" w:hRule="atLeast"/>
        </w:trPr>
        <w:tc>
          <w:tcPr>
            <w:tcW w:w="12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7" w:after="0"/>
              <w:jc w:val="center"/>
              <w:rPr>
                <w:rFonts w:eastAsia="Times New Roman" w:cs="Calibri" w:cstheme="minorHAnsi"/>
                <w:i/>
                <w:i/>
              </w:rPr>
            </w:pPr>
            <w:r>
              <w:rPr>
                <w:rFonts w:eastAsia="Times New Roman" w:cs="Calibri" w:cstheme="minorHAnsi"/>
                <w:i/>
                <w:kern w:val="0"/>
                <w:sz w:val="22"/>
                <w:szCs w:val="22"/>
                <w:lang w:eastAsia="en-US" w:bidi="ar-SA"/>
              </w:rPr>
            </w:r>
          </w:p>
          <w:p>
            <w:pPr>
              <w:pStyle w:val="Normal"/>
              <w:widowControl w:val="false"/>
              <w:spacing w:lineRule="auto" w:line="240" w:before="0" w:after="0"/>
              <w:ind w:left="71" w:hanging="0"/>
              <w:jc w:val="center"/>
              <w:rPr>
                <w:rFonts w:eastAsia="Times New Roman" w:cs="Calibri" w:cstheme="minorHAnsi"/>
              </w:rPr>
            </w:pPr>
            <w:r>
              <w:rPr>
                <w:rFonts w:eastAsia="Times New Roman" w:cs="Calibri" w:cstheme="minorHAnsi"/>
                <w:kern w:val="0"/>
                <w:sz w:val="22"/>
                <w:szCs w:val="22"/>
                <w:lang w:eastAsia="en-US" w:bidi="ar-SA"/>
              </w:rPr>
              <w:t>PL2602</w:t>
            </w:r>
          </w:p>
        </w:tc>
        <w:tc>
          <w:tcPr>
            <w:tcW w:w="11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74" w:after="0"/>
              <w:ind w:right="52" w:hanging="0"/>
              <w:jc w:val="center"/>
              <w:rPr>
                <w:rFonts w:eastAsia="Times New Roman" w:cs="Calibri" w:cstheme="minorHAnsi"/>
              </w:rPr>
            </w:pPr>
            <w:r>
              <w:rPr>
                <w:rFonts w:eastAsia="Times New Roman" w:cs="Calibri" w:cstheme="minorHAnsi"/>
                <w:kern w:val="0"/>
                <w:sz w:val="22"/>
                <w:szCs w:val="22"/>
                <w:lang w:eastAsia="en-US" w:bidi="ar-SA"/>
              </w:rPr>
              <w:t>strefa</w:t>
            </w:r>
            <w:r>
              <w:rPr>
                <w:rFonts w:eastAsia="Times New Roman" w:cs="Calibri" w:cstheme="minorHAnsi"/>
                <w:spacing w:val="1"/>
                <w:kern w:val="0"/>
                <w:sz w:val="22"/>
                <w:szCs w:val="22"/>
                <w:lang w:eastAsia="en-US" w:bidi="ar-SA"/>
              </w:rPr>
              <w:t xml:space="preserve"> </w:t>
            </w:r>
            <w:r>
              <w:rPr>
                <w:rFonts w:eastAsia="Times New Roman" w:cs="Calibri" w:cstheme="minorHAnsi"/>
                <w:spacing w:val="-1"/>
                <w:kern w:val="0"/>
                <w:sz w:val="22"/>
                <w:szCs w:val="22"/>
                <w:lang w:eastAsia="en-US" w:bidi="ar-SA"/>
              </w:rPr>
              <w:t>świętokrzyska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74" w:after="0"/>
              <w:ind w:left="69" w:right="57" w:hanging="27"/>
              <w:jc w:val="center"/>
              <w:rPr>
                <w:rFonts w:eastAsia="Times New Roman" w:cs="Calibri" w:cstheme="minorHAnsi"/>
              </w:rPr>
            </w:pPr>
            <w:r>
              <w:rPr>
                <w:rFonts w:eastAsia="Times New Roman" w:cs="Calibri" w:cstheme="minorHAnsi"/>
                <w:kern w:val="0"/>
                <w:sz w:val="22"/>
                <w:szCs w:val="22"/>
                <w:lang w:eastAsia="en-US" w:bidi="ar-SA"/>
              </w:rPr>
              <w:t>Poziom celu</w:t>
            </w:r>
            <w:r>
              <w:rPr>
                <w:rFonts w:eastAsia="Times New Roman" w:cs="Calibri" w:cstheme="minorHAnsi"/>
                <w:spacing w:val="1"/>
                <w:kern w:val="0"/>
                <w:sz w:val="22"/>
                <w:szCs w:val="22"/>
                <w:lang w:eastAsia="en-US" w:bidi="ar-SA"/>
              </w:rPr>
              <w:t xml:space="preserve"> </w:t>
            </w:r>
            <w:r>
              <w:rPr>
                <w:rFonts w:eastAsia="Times New Roman" w:cs="Calibri" w:cstheme="minorHAnsi"/>
                <w:spacing w:val="-1"/>
                <w:kern w:val="0"/>
                <w:sz w:val="22"/>
                <w:szCs w:val="22"/>
                <w:lang w:eastAsia="en-US" w:bidi="ar-SA"/>
              </w:rPr>
              <w:t>długoterminowego</w:t>
            </w:r>
          </w:p>
        </w:tc>
        <w:tc>
          <w:tcPr>
            <w:tcW w:w="10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kern w:val="0"/>
                <w:sz w:val="22"/>
                <w:szCs w:val="22"/>
                <w:lang w:eastAsia="en-US" w:bidi="ar-SA"/>
              </w:rPr>
              <w:t>AOT40</w:t>
            </w:r>
          </w:p>
        </w:tc>
        <w:tc>
          <w:tcPr>
            <w:tcW w:w="1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kern w:val="0"/>
                <w:sz w:val="22"/>
                <w:szCs w:val="22"/>
                <w:lang w:eastAsia="en-US" w:bidi="ar-SA"/>
              </w:rPr>
              <w:t>9 378,8</w:t>
            </w:r>
          </w:p>
        </w:tc>
        <w:tc>
          <w:tcPr>
            <w:tcW w:w="15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5" w:hanging="0"/>
              <w:jc w:val="center"/>
              <w:rPr>
                <w:rFonts w:eastAsia="Times New Roman" w:cs="Calibri" w:cstheme="minorHAnsi"/>
              </w:rPr>
            </w:pPr>
            <w:r>
              <w:rPr>
                <w:rFonts w:eastAsia="Times New Roman" w:cs="Calibri" w:cstheme="minorHAnsi"/>
                <w:kern w:val="0"/>
                <w:sz w:val="22"/>
                <w:szCs w:val="22"/>
                <w:lang w:eastAsia="en-US" w:bidi="ar-SA"/>
              </w:rPr>
              <w:t>80,9</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kern w:val="0"/>
                <w:sz w:val="22"/>
                <w:szCs w:val="22"/>
                <w:lang w:eastAsia="en-US" w:bidi="ar-SA"/>
              </w:rPr>
              <w:t>8 767,4</w:t>
            </w:r>
          </w:p>
        </w:tc>
      </w:tr>
    </w:tbl>
    <w:p>
      <w:pPr>
        <w:pStyle w:val="Normal"/>
        <w:widowControl w:val="false"/>
        <w:tabs>
          <w:tab w:val="clear" w:pos="720"/>
          <w:tab w:val="left" w:pos="478" w:leader="none"/>
        </w:tabs>
        <w:spacing w:lineRule="auto" w:line="240" w:before="0" w:after="0"/>
        <w:jc w:val="center"/>
        <w:rPr>
          <w:rFonts w:eastAsia="Arimo" w:cs="Calibri" w:cstheme="minorHAnsi"/>
        </w:rPr>
      </w:pPr>
      <w:r>
        <w:rPr>
          <w:rFonts w:cs="Calibri" w:cstheme="minorHAnsi"/>
        </w:rPr>
        <w:t xml:space="preserve">Źródło: </w:t>
      </w:r>
      <w:r>
        <w:rPr>
          <w:rFonts w:eastAsia="Arimo" w:cs="Calibri" w:cstheme="minorHAnsi"/>
        </w:rPr>
        <w:t xml:space="preserve">Roczna ocena jakości powietrza w województwie świętokrzyskim </w:t>
      </w:r>
    </w:p>
    <w:p>
      <w:pPr>
        <w:pStyle w:val="Normal"/>
        <w:widowControl w:val="false"/>
        <w:tabs>
          <w:tab w:val="clear" w:pos="720"/>
          <w:tab w:val="left" w:pos="478" w:leader="none"/>
        </w:tabs>
        <w:spacing w:lineRule="auto" w:line="240" w:before="0" w:after="0"/>
        <w:jc w:val="center"/>
        <w:rPr>
          <w:rFonts w:eastAsia="Arimo" w:cs="Calibri" w:cstheme="minorHAnsi"/>
        </w:rPr>
      </w:pPr>
      <w:r>
        <w:rPr>
          <w:rFonts w:eastAsia="Arimo" w:cs="Calibri" w:cstheme="minorHAnsi"/>
        </w:rPr>
        <w:t>(raport wojewódzki za rok 2020)</w:t>
      </w:r>
    </w:p>
    <w:p>
      <w:pPr>
        <w:pStyle w:val="Normal"/>
        <w:spacing w:lineRule="auto" w:line="240" w:before="0" w:after="0"/>
        <w:jc w:val="center"/>
        <w:rPr>
          <w:rFonts w:cs="Calibri" w:cstheme="minorHAnsi"/>
          <w:bCs/>
        </w:rPr>
      </w:pPr>
      <w:r>
        <w:rPr>
          <w:rFonts w:cs="Calibri" w:cstheme="minorHAnsi"/>
          <w:bCs/>
        </w:rPr>
      </w:r>
    </w:p>
    <w:p>
      <w:pPr>
        <w:pStyle w:val="Normal"/>
        <w:spacing w:lineRule="auto" w:line="240" w:before="0" w:after="0"/>
        <w:jc w:val="both"/>
        <w:rPr>
          <w:rFonts w:eastAsia="Times New Roman" w:cs="Calibri" w:cstheme="minorHAnsi"/>
          <w:lang w:eastAsia="pl-PL" w:bidi="en-US"/>
        </w:rPr>
      </w:pPr>
      <w:r>
        <w:rPr>
          <w:rFonts w:eastAsia="Times New Roman" w:cs="Calibri" w:cstheme="minorHAnsi"/>
          <w:lang w:eastAsia="pl-PL" w:bidi="en-US"/>
        </w:rPr>
        <w:t xml:space="preserve">Program ochrony powietrza dla województwa świętokrzyskiego wraz z planem działań krótkoterminowych wprowadza </w:t>
      </w:r>
      <w:r>
        <w:rPr>
          <w:rFonts w:eastAsia="Times New Roman" w:cs="Calibri" w:cstheme="minorHAnsi"/>
          <w:b/>
          <w:bCs/>
          <w:u w:val="single"/>
          <w:lang w:eastAsia="pl-PL" w:bidi="en-US"/>
        </w:rPr>
        <w:t>Harmonogram realizacji działań naprawczych dla stref województwa świętokrzyskiego</w:t>
      </w:r>
      <w:r>
        <w:rPr>
          <w:rFonts w:eastAsia="Times New Roman" w:cs="Calibri" w:cstheme="minorHAnsi"/>
          <w:lang w:eastAsia="pl-PL" w:bidi="en-US"/>
        </w:rPr>
        <w:t>, który został opracowany w oparciu  o dokonaną diagnozę istniejącego stanu jakości  powietrza oraz analizę podstawowych przyczyn niedotrzymania standardów. Działania naprawcze jakie według dokumentu gminy powinny wprowadzić to:</w:t>
      </w:r>
    </w:p>
    <w:p>
      <w:pPr>
        <w:pStyle w:val="Normal"/>
        <w:numPr>
          <w:ilvl w:val="0"/>
          <w:numId w:val="7"/>
        </w:numPr>
        <w:spacing w:lineRule="auto" w:line="240" w:before="0" w:after="0"/>
        <w:jc w:val="both"/>
        <w:rPr>
          <w:rFonts w:eastAsia="Times New Roman" w:cs="Calibri" w:cstheme="minorHAnsi"/>
          <w:lang w:eastAsia="pl-PL" w:bidi="en-US"/>
        </w:rPr>
      </w:pPr>
      <w:r>
        <w:rPr>
          <w:rFonts w:eastAsia="Times New Roman" w:cs="Calibri" w:cstheme="minorHAnsi"/>
          <w:lang w:eastAsia="pl-PL" w:bidi="en-US"/>
        </w:rPr>
        <w:t>ograniczenie emisji z instalacji o małej mocy do 1 MW, w których następuje spalanie paliw stałych,</w:t>
      </w:r>
    </w:p>
    <w:p>
      <w:pPr>
        <w:pStyle w:val="Normal"/>
        <w:numPr>
          <w:ilvl w:val="0"/>
          <w:numId w:val="7"/>
        </w:numPr>
        <w:spacing w:lineRule="auto" w:line="240" w:before="0" w:after="0"/>
        <w:jc w:val="both"/>
        <w:rPr>
          <w:rFonts w:eastAsia="Times New Roman" w:cs="Calibri" w:cstheme="minorHAnsi"/>
          <w:lang w:eastAsia="pl-PL" w:bidi="en-US"/>
        </w:rPr>
      </w:pPr>
      <w:r>
        <w:rPr>
          <w:rFonts w:eastAsia="Times New Roman" w:cs="Calibri" w:cstheme="minorHAnsi"/>
          <w:lang w:eastAsia="pl-PL" w:bidi="en-US"/>
        </w:rPr>
        <w:t>prowadzenie działań promocyjnych i edukacyjnych (ulotki, imprezy, akcje szkolne, audycje, konferencje) oraz informacyjnych i szkoleniowych,</w:t>
      </w:r>
    </w:p>
    <w:p>
      <w:pPr>
        <w:pStyle w:val="Normal"/>
        <w:numPr>
          <w:ilvl w:val="0"/>
          <w:numId w:val="7"/>
        </w:numPr>
        <w:spacing w:lineRule="auto" w:line="240" w:before="0" w:after="0"/>
        <w:jc w:val="both"/>
        <w:rPr>
          <w:rFonts w:eastAsia="Times New Roman" w:cs="Calibri" w:cstheme="minorHAnsi"/>
          <w:lang w:eastAsia="pl-PL" w:bidi="en-US"/>
        </w:rPr>
      </w:pPr>
      <w:r>
        <w:rPr>
          <w:rFonts w:eastAsia="Times New Roman" w:cs="Calibri" w:cstheme="minorHAnsi"/>
          <w:lang w:eastAsia="pl-PL" w:bidi="en-US"/>
        </w:rPr>
        <w:t>prowadzenie kontroli przestrzegania przepisów ograniczających używanie paliw lub urządzeń do celów grzewczych oraz zakazu spalania odpadów.</w:t>
      </w:r>
    </w:p>
    <w:p>
      <w:pPr>
        <w:pStyle w:val="Normal"/>
        <w:rPr>
          <w:rFonts w:cs="Calibri" w:cstheme="minorHAnsi"/>
          <w:b/>
          <w:b/>
        </w:rPr>
      </w:pPr>
      <w:r>
        <w:rPr>
          <w:rFonts w:cs="Calibri" w:cstheme="minorHAnsi"/>
          <w:b/>
        </w:rPr>
      </w:r>
      <w:r>
        <w:br w:type="page"/>
      </w:r>
    </w:p>
    <w:p>
      <w:pPr>
        <w:pStyle w:val="Normal"/>
        <w:spacing w:lineRule="auto" w:line="240" w:before="0" w:after="0"/>
        <w:jc w:val="both"/>
        <w:rPr>
          <w:rFonts w:cs="Calibri" w:cstheme="minorHAnsi"/>
        </w:rPr>
      </w:pPr>
      <w:r>
        <w:rPr>
          <w:rFonts w:cs="Calibri" w:cstheme="minorHAnsi"/>
          <w:b/>
        </w:rPr>
        <w:t>Działania podejmowane w Gminie Dwikozy na rzecz ochrony powietrza w 2021r.</w:t>
      </w:r>
    </w:p>
    <w:p>
      <w:pPr>
        <w:pStyle w:val="Normal"/>
        <w:spacing w:lineRule="auto" w:line="240" w:before="0" w:after="0"/>
        <w:ind w:firstLine="708"/>
        <w:jc w:val="both"/>
        <w:rPr>
          <w:rFonts w:cs="Calibri" w:cstheme="minorHAnsi"/>
        </w:rPr>
      </w:pPr>
      <w:r>
        <w:rPr>
          <w:rFonts w:cs="Calibri" w:cstheme="minorHAnsi"/>
        </w:rPr>
        <w:t xml:space="preserve">W 2021 roku gmina realizowała założenia </w:t>
      </w:r>
      <w:r>
        <w:rPr>
          <w:rFonts w:cs="Calibri" w:cstheme="minorHAnsi"/>
          <w:i/>
          <w:iCs/>
        </w:rPr>
        <w:t>Programu ochrony powietrza dla województwa świętokrzyskiego wraz z planem działań krótkoterminowych</w:t>
      </w:r>
      <w:r>
        <w:rPr>
          <w:rStyle w:val="Zakotwiczenieprzypisudolnego"/>
          <w:rFonts w:cs="Calibri" w:cstheme="minorHAnsi"/>
          <w:i/>
          <w:iCs/>
          <w:vertAlign w:val="superscript"/>
        </w:rPr>
        <w:footnoteReference w:id="12"/>
      </w:r>
      <w:r>
        <w:rPr>
          <w:rFonts w:cs="Calibri" w:cstheme="minorHAnsi"/>
          <w:i/>
          <w:iCs/>
        </w:rPr>
        <w:t>.</w:t>
      </w:r>
      <w:r>
        <w:rPr>
          <w:rFonts w:cs="Calibri" w:cstheme="minorHAnsi"/>
        </w:rPr>
        <w:t xml:space="preserve"> </w:t>
      </w:r>
    </w:p>
    <w:p>
      <w:pPr>
        <w:pStyle w:val="Normal"/>
        <w:spacing w:lineRule="auto" w:line="240" w:before="0" w:after="0"/>
        <w:ind w:firstLine="708"/>
        <w:jc w:val="both"/>
        <w:rPr>
          <w:rFonts w:eastAsia="Calibri" w:cs="Calibri" w:cstheme="minorHAnsi"/>
        </w:rPr>
      </w:pPr>
      <w:r>
        <w:rPr>
          <w:rFonts w:eastAsia="Calibri" w:cs="Calibri" w:cstheme="minorHAnsi"/>
        </w:rPr>
        <w:t xml:space="preserve">Kontynuowano działania mające na celu obniżenie poziomu energochłonności </w:t>
        <w:br/>
        <w:t xml:space="preserve">w poszczególnych sektorach odbiorców energii poprzez optymalizację działań związanych </w:t>
        <w:br/>
        <w:t xml:space="preserve">z produkcją i wykorzystaniem energii oraz wzrostem wykorzystania energii ze źródeł odnawialnych. </w:t>
      </w:r>
    </w:p>
    <w:p>
      <w:pPr>
        <w:pStyle w:val="Normal"/>
        <w:spacing w:lineRule="auto" w:line="240" w:before="0" w:after="0"/>
        <w:ind w:firstLine="708"/>
        <w:jc w:val="both"/>
        <w:rPr>
          <w:rFonts w:cs="Calibri" w:cstheme="minorHAnsi"/>
          <w:b/>
          <w:b/>
          <w:color w:val="000000" w:themeColor="text1"/>
        </w:rPr>
      </w:pPr>
      <w:r>
        <w:rPr>
          <w:rFonts w:cs="Calibri" w:cstheme="minorHAnsi"/>
        </w:rPr>
        <w:t xml:space="preserve">W połowie 2021 r. Gmina zawarła porozumienie z Wojewódzkim Funduszem Ochrony Środowiska i Gospodarki Wodnej w Kielcach o współpracy przy realizacji Programu Priorytetowego Czyste Powietrze, który ma stanowić kompleksowy program, </w:t>
      </w:r>
      <w:r>
        <w:rPr>
          <w:rFonts w:cs="Calibri" w:cstheme="minorHAnsi"/>
          <w:color w:val="000000" w:themeColor="text1"/>
        </w:rPr>
        <w:t>którego celem jest poprawa jakości powietrza oraz zmniejszenie emisji gazów cieplarnianych poprzez wymianę źródeł ciepła i poprawę efektywności energetycznej budynków mieszkalnych jednorodzinnych</w:t>
      </w:r>
      <w:r>
        <w:rPr>
          <w:rStyle w:val="Zakotwiczenieprzypisudolnego"/>
          <w:rFonts w:cs="Calibri" w:cstheme="minorHAnsi"/>
          <w:color w:val="000000" w:themeColor="text1"/>
          <w:vertAlign w:val="superscript"/>
        </w:rPr>
        <w:footnoteReference w:id="13"/>
      </w:r>
      <w:r>
        <w:rPr>
          <w:rFonts w:cs="Calibri" w:cstheme="minorHAnsi"/>
          <w:color w:val="000000" w:themeColor="text1"/>
        </w:rPr>
        <w:t>. Konsekwencją podpisanej umowy było uruchomienie gminnego punktu konsultacyjno–informacyjnego programu „Czyste Powietrze” w budynku Urzędu Gminy w Dwikozach. Po telefonicznym umówieniu terminu wizyty możliwe jest uzyskanie szczegółowych informacji dotyczących warunków dofinansowania oraz otrzymanie pomocy przy wypełnianiu wniosku o dofinansowanie</w:t>
      </w:r>
      <w:r>
        <w:rPr>
          <w:rFonts w:cs="Calibri" w:cstheme="minorHAnsi"/>
          <w:b/>
          <w:color w:val="000000" w:themeColor="text1"/>
        </w:rPr>
        <w:t>.</w:t>
      </w:r>
    </w:p>
    <w:p>
      <w:pPr>
        <w:pStyle w:val="Normal"/>
        <w:tabs>
          <w:tab w:val="clear" w:pos="720"/>
          <w:tab w:val="left" w:pos="284" w:leader="none"/>
        </w:tabs>
        <w:spacing w:lineRule="auto" w:line="240" w:before="0" w:after="0"/>
        <w:jc w:val="both"/>
        <w:rPr>
          <w:rFonts w:eastAsia="" w:cs="Calibri" w:cstheme="minorHAnsi" w:eastAsiaTheme="majorEastAsia"/>
        </w:rPr>
      </w:pPr>
      <w:r>
        <w:rPr>
          <w:rFonts w:eastAsia="" w:cs="Calibri" w:cstheme="minorHAnsi" w:eastAsiaTheme="majorEastAsia"/>
        </w:rPr>
      </w:r>
    </w:p>
    <w:tbl>
      <w:tblPr>
        <w:tblStyle w:val="Tabela-Siatka5"/>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shd w:color="auto" w:fill="FFF2CC" w:themeFill="accent4" w:themeFillTint="33" w:val="clear"/>
          </w:tcPr>
          <w:p>
            <w:pPr>
              <w:pStyle w:val="Normal"/>
              <w:widowControl/>
              <w:tabs>
                <w:tab w:val="clear" w:pos="720"/>
                <w:tab w:val="left" w:pos="284" w:leader="none"/>
              </w:tabs>
              <w:spacing w:lineRule="auto" w:line="240" w:before="0" w:after="0"/>
              <w:jc w:val="both"/>
              <w:rPr>
                <w:rFonts w:eastAsia="" w:cs="Calibri" w:cstheme="minorHAnsi" w:eastAsiaTheme="majorEastAsia"/>
              </w:rPr>
            </w:pPr>
            <w:r>
              <w:rPr>
                <w:rFonts w:eastAsia="" w:cs="Calibri" w:cstheme="minorHAnsi" w:eastAsiaTheme="majorEastAsia"/>
                <w:kern w:val="0"/>
                <w:sz w:val="22"/>
                <w:szCs w:val="22"/>
                <w:lang w:eastAsia="en-US" w:bidi="ar-SA"/>
              </w:rPr>
              <w:t>Gmina Dwikozy zainteresowana jest realizacją projektów parasolowych dla mieszkańców polegających na możliwości dofinansowania:</w:t>
            </w:r>
          </w:p>
          <w:p>
            <w:pPr>
              <w:pStyle w:val="Normal"/>
              <w:widowControl/>
              <w:numPr>
                <w:ilvl w:val="0"/>
                <w:numId w:val="58"/>
              </w:numPr>
              <w:tabs>
                <w:tab w:val="clear" w:pos="720"/>
                <w:tab w:val="left" w:pos="284" w:leader="none"/>
              </w:tabs>
              <w:spacing w:lineRule="auto" w:line="240" w:before="0" w:after="0"/>
              <w:contextualSpacing/>
              <w:jc w:val="both"/>
              <w:rPr>
                <w:rFonts w:eastAsia="" w:cs="Calibri" w:cstheme="minorHAnsi" w:eastAsiaTheme="majorEastAsia"/>
              </w:rPr>
            </w:pPr>
            <w:r>
              <w:rPr>
                <w:rFonts w:eastAsia="" w:cs="Calibri" w:cstheme="minorHAnsi" w:eastAsiaTheme="majorEastAsia"/>
                <w:kern w:val="0"/>
                <w:sz w:val="22"/>
                <w:szCs w:val="22"/>
                <w:lang w:eastAsia="en-US" w:bidi="ar-SA"/>
              </w:rPr>
              <w:t>dostawy i montażu instalacji fotowoltaicznych, pomp ciepła, instalacji solarnych na/w budynkach prywatnych (instalacje prosumenckie),</w:t>
            </w:r>
          </w:p>
          <w:p>
            <w:pPr>
              <w:pStyle w:val="Normal"/>
              <w:widowControl/>
              <w:numPr>
                <w:ilvl w:val="0"/>
                <w:numId w:val="58"/>
              </w:numPr>
              <w:tabs>
                <w:tab w:val="clear" w:pos="720"/>
                <w:tab w:val="left" w:pos="284" w:leader="none"/>
              </w:tabs>
              <w:spacing w:lineRule="auto" w:line="240" w:before="0" w:after="0"/>
              <w:contextualSpacing/>
              <w:jc w:val="both"/>
              <w:rPr>
                <w:rFonts w:eastAsia="" w:cs="Calibri" w:cstheme="minorHAnsi" w:eastAsiaTheme="majorEastAsia"/>
              </w:rPr>
            </w:pPr>
            <w:r>
              <w:rPr>
                <w:rFonts w:eastAsia="" w:cs="Calibri" w:cstheme="minorHAnsi" w:eastAsiaTheme="majorEastAsia"/>
                <w:kern w:val="0"/>
                <w:sz w:val="22"/>
                <w:szCs w:val="22"/>
                <w:lang w:eastAsia="en-US" w:bidi="ar-SA"/>
              </w:rPr>
              <w:t xml:space="preserve">likwidacji tzw. „kopciuchów” – kotłów c.o. starej generacji na ich wymiany na ekologiczne </w:t>
              <w:br/>
              <w:t>w ramach głębokiej termomodernizacji jednorodzinnych budynków mieszkalnych nieefektywnych energetycznie</w:t>
            </w:r>
            <w:r>
              <w:rPr>
                <w:rStyle w:val="Zakotwiczenieprzypisudolnego"/>
                <w:rFonts w:eastAsia="" w:cs="Calibri" w:cstheme="minorHAnsi" w:eastAsiaTheme="majorEastAsia"/>
                <w:kern w:val="0"/>
                <w:sz w:val="22"/>
                <w:szCs w:val="22"/>
                <w:vertAlign w:val="superscript"/>
                <w:lang w:eastAsia="en-US" w:bidi="ar-SA"/>
              </w:rPr>
              <w:footnoteReference w:id="14"/>
            </w:r>
            <w:r>
              <w:rPr>
                <w:rFonts w:eastAsia="" w:cs="Calibri" w:cstheme="minorHAnsi" w:eastAsiaTheme="majorEastAsia"/>
                <w:kern w:val="0"/>
                <w:sz w:val="22"/>
                <w:szCs w:val="22"/>
                <w:lang w:eastAsia="en-US" w:bidi="ar-SA"/>
              </w:rPr>
              <w:t>.</w:t>
            </w:r>
          </w:p>
          <w:p>
            <w:pPr>
              <w:pStyle w:val="Normal"/>
              <w:widowControl/>
              <w:tabs>
                <w:tab w:val="clear" w:pos="720"/>
                <w:tab w:val="left" w:pos="284" w:leader="none"/>
              </w:tabs>
              <w:spacing w:lineRule="auto" w:line="240" w:before="0" w:after="0"/>
              <w:jc w:val="both"/>
              <w:rPr>
                <w:rFonts w:eastAsia="" w:cs="Calibri" w:cstheme="minorHAnsi" w:eastAsiaTheme="majorEastAsia"/>
              </w:rPr>
            </w:pPr>
            <w:r>
              <w:rPr>
                <w:rFonts w:eastAsia="" w:cs="Calibri" w:cstheme="minorHAnsi" w:eastAsiaTheme="majorEastAsia"/>
                <w:kern w:val="0"/>
                <w:sz w:val="22"/>
                <w:szCs w:val="22"/>
                <w:lang w:eastAsia="en-US" w:bidi="ar-SA"/>
              </w:rPr>
              <w:t>oraz projektami z zakresu termomodernizacji budynków użyteczności publicznej wraz z montażem odnawialnych źródeł energii oraz modernizacją oświetlenia ulicznego na energooszczędne.</w:t>
            </w:r>
          </w:p>
        </w:tc>
      </w:tr>
    </w:tbl>
    <w:p>
      <w:pPr>
        <w:pStyle w:val="Normal"/>
        <w:spacing w:lineRule="auto" w:line="240" w:before="0" w:after="0"/>
        <w:jc w:val="both"/>
        <w:rPr>
          <w:rFonts w:eastAsia="Calibri" w:cs="Calibri" w:cstheme="minorHAnsi"/>
          <w:color w:val="000000" w:themeColor="text1"/>
        </w:rPr>
      </w:pPr>
      <w:r>
        <w:rPr>
          <w:rFonts w:eastAsia="Calibri" w:cs="Calibri" w:cstheme="minorHAnsi"/>
          <w:color w:val="000000" w:themeColor="text1"/>
        </w:rPr>
      </w:r>
    </w:p>
    <w:p>
      <w:pPr>
        <w:pStyle w:val="Normal"/>
        <w:spacing w:lineRule="auto" w:line="240" w:before="0" w:after="0"/>
        <w:jc w:val="both"/>
        <w:rPr>
          <w:rFonts w:eastAsia="Calibri" w:cs="Calibri" w:cstheme="minorHAnsi"/>
          <w:color w:val="000000" w:themeColor="text1"/>
        </w:rPr>
      </w:pPr>
      <w:r>
        <w:rPr>
          <w:rFonts w:eastAsia="Calibri" w:cs="Calibri" w:cstheme="minorHAnsi"/>
          <w:color w:val="000000" w:themeColor="text1"/>
        </w:rPr>
        <w:t>Inne potrzeby zgłoszone na etapie Diagnozy:</w:t>
      </w:r>
    </w:p>
    <w:p>
      <w:pPr>
        <w:pStyle w:val="Normal"/>
        <w:numPr>
          <w:ilvl w:val="0"/>
          <w:numId w:val="55"/>
        </w:numPr>
        <w:tabs>
          <w:tab w:val="clear" w:pos="720"/>
          <w:tab w:val="left" w:pos="426" w:leader="none"/>
        </w:tabs>
        <w:spacing w:lineRule="auto" w:line="240" w:before="0" w:after="0"/>
        <w:ind w:left="426" w:hanging="284"/>
        <w:jc w:val="both"/>
        <w:rPr>
          <w:rFonts w:eastAsia="Times New Roman" w:cs="Calibri" w:cstheme="minorHAnsi"/>
          <w:color w:val="000000" w:themeColor="text1"/>
          <w:lang w:eastAsia="pl-PL"/>
        </w:rPr>
      </w:pPr>
      <w:r>
        <w:rPr>
          <w:rFonts w:eastAsia="Times New Roman" w:cs="Calibri" w:cstheme="minorHAnsi"/>
          <w:color w:val="000000" w:themeColor="text1"/>
          <w:lang w:eastAsia="pl-PL"/>
        </w:rPr>
        <w:t xml:space="preserve">Usprawnienie systemów ciepłowniczych, gazowych i elektroenergetycznych. </w:t>
      </w:r>
    </w:p>
    <w:p>
      <w:pPr>
        <w:pStyle w:val="Normal"/>
        <w:numPr>
          <w:ilvl w:val="0"/>
          <w:numId w:val="55"/>
        </w:numPr>
        <w:tabs>
          <w:tab w:val="clear" w:pos="720"/>
          <w:tab w:val="left" w:pos="426" w:leader="none"/>
        </w:tabs>
        <w:spacing w:lineRule="auto" w:line="240" w:before="0" w:after="0"/>
        <w:ind w:left="426" w:hanging="284"/>
        <w:contextualSpacing/>
        <w:jc w:val="both"/>
        <w:rPr>
          <w:rFonts w:eastAsia="" w:cs="Calibri" w:cstheme="minorHAnsi" w:eastAsiaTheme="majorEastAsia"/>
          <w:color w:val="000000" w:themeColor="text1"/>
        </w:rPr>
      </w:pPr>
      <w:r>
        <w:rPr>
          <w:rFonts w:eastAsia="" w:cs="Calibri" w:cstheme="minorHAnsi" w:eastAsiaTheme="majorEastAsia"/>
          <w:color w:val="000000" w:themeColor="text1"/>
        </w:rPr>
        <w:t xml:space="preserve">Budowa farmy fotowoltaicznej pokrywającej zużycie energii oświetlenia ulicznego oraz budynków użyteczności publicznej. </w:t>
      </w:r>
    </w:p>
    <w:p>
      <w:pPr>
        <w:pStyle w:val="Normal"/>
        <w:numPr>
          <w:ilvl w:val="0"/>
          <w:numId w:val="55"/>
        </w:numPr>
        <w:tabs>
          <w:tab w:val="clear" w:pos="720"/>
          <w:tab w:val="left" w:pos="426" w:leader="none"/>
        </w:tabs>
        <w:spacing w:lineRule="auto" w:line="240" w:before="0" w:after="0"/>
        <w:ind w:left="426" w:hanging="284"/>
        <w:contextualSpacing/>
        <w:jc w:val="both"/>
        <w:rPr>
          <w:rFonts w:eastAsia="" w:cs="Calibri" w:cstheme="minorHAnsi" w:eastAsiaTheme="majorEastAsia"/>
          <w:color w:val="000000" w:themeColor="text1"/>
        </w:rPr>
      </w:pPr>
      <w:r>
        <w:rPr>
          <w:rFonts w:eastAsia="" w:cs="Calibri" w:cstheme="minorHAnsi" w:eastAsiaTheme="majorEastAsia"/>
          <w:color w:val="000000" w:themeColor="text1"/>
        </w:rPr>
        <w:t>Rozbudowa oświetlenia ulicznego w miejscach niedoświetlonych oraz na odcinkach, gdzie linia oświetleniowa nie istnieje, a powstają nowe zabudowania</w:t>
      </w:r>
      <w:r>
        <w:rPr>
          <w:rFonts w:eastAsia="Calibri" w:cs="Calibri" w:cstheme="minorHAnsi"/>
          <w:color w:val="000000" w:themeColor="text1"/>
        </w:rPr>
        <w:t>.</w:t>
      </w:r>
    </w:p>
    <w:p>
      <w:pPr>
        <w:pStyle w:val="Normal"/>
        <w:numPr>
          <w:ilvl w:val="0"/>
          <w:numId w:val="55"/>
        </w:numPr>
        <w:tabs>
          <w:tab w:val="clear" w:pos="720"/>
          <w:tab w:val="left" w:pos="426" w:leader="none"/>
        </w:tabs>
        <w:spacing w:lineRule="auto" w:line="240" w:before="0" w:after="0"/>
        <w:ind w:left="426" w:hanging="284"/>
        <w:contextualSpacing/>
        <w:jc w:val="both"/>
        <w:rPr>
          <w:rFonts w:eastAsia="" w:cs="Calibri" w:cstheme="minorHAnsi" w:eastAsiaTheme="majorEastAsia"/>
          <w:color w:val="000000" w:themeColor="text1"/>
        </w:rPr>
      </w:pPr>
      <w:r>
        <w:rPr>
          <w:rFonts w:eastAsia="" w:cs="Calibri" w:cstheme="minorHAnsi" w:eastAsiaTheme="majorEastAsia"/>
          <w:color w:val="000000" w:themeColor="text1"/>
        </w:rPr>
        <w:t>Budowa energooszczędnego-ekologicznego oświetlenia ulicznego na terenie gminy.</w:t>
      </w:r>
    </w:p>
    <w:p>
      <w:pPr>
        <w:pStyle w:val="Normal"/>
        <w:numPr>
          <w:ilvl w:val="0"/>
          <w:numId w:val="55"/>
        </w:numPr>
        <w:tabs>
          <w:tab w:val="clear" w:pos="720"/>
          <w:tab w:val="left" w:pos="426" w:leader="none"/>
        </w:tabs>
        <w:spacing w:lineRule="auto" w:line="240" w:before="0" w:after="0"/>
        <w:ind w:left="426" w:hanging="284"/>
        <w:jc w:val="both"/>
        <w:rPr>
          <w:rFonts w:eastAsia="Times New Roman" w:cs="Calibri" w:cstheme="minorHAnsi"/>
          <w:color w:val="000000" w:themeColor="text1"/>
          <w:lang w:eastAsia="pl-PL"/>
        </w:rPr>
      </w:pPr>
      <w:r>
        <w:rPr>
          <w:rFonts w:eastAsia="Times New Roman" w:cs="Calibri" w:cstheme="minorHAnsi"/>
          <w:color w:val="000000" w:themeColor="text1"/>
          <w:lang w:eastAsia="pl-PL"/>
        </w:rPr>
        <w:t xml:space="preserve">Modernizacja istniejącego oświetlenia ulicznego. </w:t>
      </w:r>
    </w:p>
    <w:p>
      <w:pPr>
        <w:pStyle w:val="Normal"/>
        <w:numPr>
          <w:ilvl w:val="0"/>
          <w:numId w:val="55"/>
        </w:numPr>
        <w:tabs>
          <w:tab w:val="clear" w:pos="720"/>
          <w:tab w:val="left" w:pos="426" w:leader="none"/>
        </w:tabs>
        <w:spacing w:lineRule="auto" w:line="240" w:before="0" w:after="0"/>
        <w:ind w:left="426" w:hanging="284"/>
        <w:contextualSpacing/>
        <w:jc w:val="both"/>
        <w:rPr>
          <w:rFonts w:eastAsia="" w:cs="Calibri" w:cstheme="minorHAnsi" w:eastAsiaTheme="majorEastAsia"/>
          <w:color w:val="000000" w:themeColor="text1"/>
        </w:rPr>
      </w:pPr>
      <w:r>
        <w:rPr>
          <w:rFonts w:eastAsia="" w:cs="Calibri" w:cstheme="minorHAnsi" w:eastAsiaTheme="majorEastAsia"/>
          <w:color w:val="000000" w:themeColor="text1"/>
        </w:rPr>
        <w:t>Budowa magazynów energii elektrycznej dla potrzeb instytucji publicznych na terenie gminy.</w:t>
      </w:r>
    </w:p>
    <w:p>
      <w:pPr>
        <w:pStyle w:val="Normal"/>
        <w:rPr>
          <w:rFonts w:eastAsia="" w:cs="Calibri" w:cstheme="minorHAnsi" w:eastAsiaTheme="majorEastAsia"/>
          <w:color w:val="000000" w:themeColor="text1"/>
        </w:rPr>
      </w:pPr>
      <w:r>
        <w:rPr>
          <w:rFonts w:eastAsia="" w:cs="Calibri" w:cstheme="minorHAnsi" w:eastAsiaTheme="majorEastAsia"/>
          <w:color w:val="000000" w:themeColor="text1"/>
        </w:rPr>
      </w:r>
      <w:r>
        <w:br w:type="page"/>
      </w:r>
    </w:p>
    <w:p>
      <w:pPr>
        <w:pStyle w:val="Nagwek2"/>
        <w:numPr>
          <w:ilvl w:val="1"/>
          <w:numId w:val="1"/>
        </w:numPr>
        <w:spacing w:lineRule="auto" w:line="240" w:before="0" w:after="0"/>
        <w:ind w:left="426" w:hanging="432"/>
        <w:rPr>
          <w:rFonts w:ascii="Calibri" w:hAnsi="Calibri" w:cs="Calibri" w:asciiTheme="minorHAnsi" w:cstheme="minorHAnsi" w:hAnsiTheme="minorHAnsi"/>
          <w:i w:val="false"/>
          <w:i w:val="false"/>
          <w:iCs w:val="false"/>
        </w:rPr>
      </w:pPr>
      <w:bookmarkStart w:id="60" w:name="_Toc118887453"/>
      <w:r>
        <w:rPr>
          <w:rFonts w:cs="Calibri" w:ascii="Calibri" w:hAnsi="Calibri" w:asciiTheme="minorHAnsi" w:cstheme="minorHAnsi" w:hAnsiTheme="minorHAnsi"/>
          <w:i w:val="false"/>
          <w:iCs w:val="false"/>
        </w:rPr>
        <w:t>Zasoby naturalne</w:t>
      </w:r>
      <w:bookmarkEnd w:id="60"/>
      <w:r>
        <w:rPr>
          <w:rFonts w:cs="Calibri" w:ascii="Calibri" w:hAnsi="Calibri" w:asciiTheme="minorHAnsi" w:cstheme="minorHAnsi" w:hAnsiTheme="minorHAnsi"/>
          <w:i w:val="false"/>
          <w:iCs w:val="false"/>
        </w:rPr>
        <w:t xml:space="preserve"> </w:t>
      </w:r>
    </w:p>
    <w:p>
      <w:pPr>
        <w:pStyle w:val="Normal"/>
        <w:spacing w:lineRule="auto" w:line="240" w:before="0" w:after="0"/>
        <w:rPr>
          <w:rFonts w:cs="Calibri" w:cstheme="minorHAnsi"/>
          <w:b/>
          <w:b/>
          <w:bCs/>
          <w:sz w:val="12"/>
          <w:szCs w:val="12"/>
        </w:rPr>
      </w:pPr>
      <w:r>
        <w:rPr>
          <w:rFonts w:cs="Calibri" w:cstheme="minorHAnsi"/>
          <w:b/>
          <w:bCs/>
          <w:sz w:val="12"/>
          <w:szCs w:val="12"/>
        </w:rPr>
      </w:r>
    </w:p>
    <w:p>
      <w:pPr>
        <w:pStyle w:val="Normal"/>
        <w:spacing w:lineRule="auto" w:line="240" w:before="0" w:after="0"/>
        <w:jc w:val="both"/>
        <w:rPr>
          <w:rFonts w:cs="Calibri" w:cstheme="minorHAnsi"/>
          <w:b/>
          <w:b/>
          <w:bCs/>
        </w:rPr>
      </w:pPr>
      <w:r>
        <w:rPr>
          <w:rFonts w:cs="Calibri" w:cstheme="minorHAnsi"/>
          <w:b/>
          <w:bCs/>
        </w:rPr>
        <w:t>Warunki geologiczne</w:t>
      </w:r>
    </w:p>
    <w:p>
      <w:pPr>
        <w:pStyle w:val="Normal"/>
        <w:spacing w:lineRule="auto" w:line="240" w:before="0" w:after="0"/>
        <w:jc w:val="both"/>
        <w:rPr>
          <w:rFonts w:cs="Calibri" w:cstheme="minorHAnsi"/>
        </w:rPr>
      </w:pPr>
      <w:bookmarkStart w:id="61" w:name="_Hlk118882378"/>
      <w:r>
        <w:rPr>
          <w:rFonts w:cs="Calibri" w:cstheme="minorHAnsi"/>
        </w:rPr>
        <w:t xml:space="preserve">Pod względem geograficznym gmina Dwikozy położona jest w obrębie następujących jednostek geograficznych: </w:t>
      </w:r>
    </w:p>
    <w:p>
      <w:pPr>
        <w:pStyle w:val="ListParagraph"/>
        <w:numPr>
          <w:ilvl w:val="0"/>
          <w:numId w:val="67"/>
        </w:numPr>
        <w:spacing w:lineRule="auto" w:line="240" w:before="0" w:after="0"/>
        <w:jc w:val="both"/>
        <w:rPr>
          <w:rFonts w:cs="Calibri" w:cstheme="minorHAnsi"/>
        </w:rPr>
      </w:pPr>
      <w:r>
        <w:rPr>
          <w:rFonts w:cs="Calibri" w:cstheme="minorHAnsi"/>
        </w:rPr>
        <w:t>podprowincja Wyżyna Małopolska, makroregion Wyżyna Kielecka i mezoregion Wyżyna Sandomierska,</w:t>
      </w:r>
    </w:p>
    <w:p>
      <w:pPr>
        <w:pStyle w:val="ListParagraph"/>
        <w:numPr>
          <w:ilvl w:val="0"/>
          <w:numId w:val="67"/>
        </w:numPr>
        <w:spacing w:lineRule="auto" w:line="240" w:before="0" w:after="0"/>
        <w:jc w:val="both"/>
        <w:rPr>
          <w:rFonts w:cs="Calibri" w:cstheme="minorHAnsi"/>
        </w:rPr>
      </w:pPr>
      <w:bookmarkStart w:id="62" w:name="_Hlk118882378"/>
      <w:r>
        <w:rPr>
          <w:rFonts w:cs="Calibri" w:cstheme="minorHAnsi"/>
        </w:rPr>
        <w:t>podprowincja Północne Podkarpacie, makroregion Kotlina Sandomierska i mezoregion Nizina Nadwiślańska.</w:t>
      </w:r>
      <w:bookmarkEnd w:id="62"/>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Mezoregion Wyżyna Sandomierska obejmuje zachodnią część gminy, która stanowi przedłużenie Gór Świętokrzyskich wznoszące się na wysokości 150–210 m n.p.m. Na terenie tym zalega znacznej miąższości pokrywa lessowa (miejscami nawet ponad 30 m), w wyniku tego powierzchnia terenu jest dość płaska, porozcinana płaskodennymi dolinami dopływów Wisły oraz gęstą siecią wąwozów lessowych. Zbocza dolin są niewysokie (do 20 m), ale stosunkowo strome. Nachylenia spadków dochodzi tutaj do 30%, czego następstwem są silne procesy erozyjne. Przez gminę przebiega wschodnia granica Wyżyny Sandomierskiej, którą tworzy erozyjna krawędź doliny Wisły. </w:t>
        <w:br/>
        <w:t>W południowej części gminy odsłaniają się kambryjskie łupki ilaste z wkładkami kwarcytów, szczególnie widoczne w rezerwacie przyrody Góry Pieprzowe. Lessowe podłoże wytworzyło urodzajne gleby co sprawia, iż jest to region silnie rolniczy, w większości pozbawiony kompleksów leśnych.</w:t>
      </w:r>
    </w:p>
    <w:p>
      <w:pPr>
        <w:pStyle w:val="Normal"/>
        <w:spacing w:lineRule="auto" w:line="240" w:before="0" w:after="0"/>
        <w:jc w:val="both"/>
        <w:rPr>
          <w:rFonts w:cs="Calibri" w:cstheme="minorHAnsi"/>
        </w:rPr>
      </w:pPr>
      <w:r>
        <w:rPr>
          <w:rFonts w:cs="Calibri" w:cstheme="minorHAnsi"/>
        </w:rPr>
        <w:t>Wschodnia część gminy położona jest w mezoregionie Nizina Nadwiślańska, który obejmuje szeroką dolinę Wisły od Krakowa, po sąsiadujący z gminą Dwikozy - Zawichost. Rzeka Wisła na terenie gminy przebiega przez całą jej długość i stanowi wschodnią granicę administracyjną samorządu. Teren ten wypełniają czwartorzędowe osady rzeczne o miąższości kilkunastu metrów. Jest to obszar płaski porozcinany przez cieki, bogaty w lokalne podmokłości. Obok tarasu zalewowego wyróżnia się wyższy taras piaszczysty (częściowo z wydmami) i taras przykryty lessem. Od zachodniej części gminy Nizinę Nadwiślańską ogranicza krawędź erozyjna (skarpa wiślana) o wysokości ok. 50–60 m.</w:t>
      </w:r>
    </w:p>
    <w:p>
      <w:pPr>
        <w:pStyle w:val="Normal"/>
        <w:spacing w:lineRule="auto" w:line="240" w:before="0" w:after="0"/>
        <w:jc w:val="both"/>
        <w:rPr>
          <w:rFonts w:cs="Calibri" w:cstheme="minorHAnsi"/>
          <w:b/>
          <w:b/>
          <w:bCs/>
        </w:rPr>
      </w:pPr>
      <w:r>
        <w:rPr>
          <w:rFonts w:cs="Calibri" w:cstheme="minorHAnsi"/>
          <w:b/>
          <w:bCs/>
        </w:rPr>
      </w:r>
    </w:p>
    <w:p>
      <w:pPr>
        <w:pStyle w:val="Normal"/>
        <w:spacing w:lineRule="auto" w:line="240" w:before="0" w:after="0"/>
        <w:jc w:val="both"/>
        <w:rPr>
          <w:rFonts w:cs="Calibri" w:cstheme="minorHAnsi"/>
          <w:b/>
          <w:b/>
          <w:bCs/>
        </w:rPr>
      </w:pPr>
      <w:r>
        <w:rPr>
          <w:rFonts w:cs="Calibri" w:cstheme="minorHAnsi"/>
          <w:b/>
          <w:bCs/>
        </w:rPr>
        <w:t xml:space="preserve">Klimat </w:t>
      </w:r>
    </w:p>
    <w:p>
      <w:pPr>
        <w:pStyle w:val="Normal"/>
        <w:spacing w:lineRule="auto" w:line="240" w:before="0" w:after="0"/>
        <w:jc w:val="both"/>
        <w:rPr>
          <w:rFonts w:cs="Calibri" w:cstheme="minorHAnsi"/>
        </w:rPr>
      </w:pPr>
      <w:r>
        <w:rPr>
          <w:rFonts w:cs="Calibri" w:cstheme="minorHAnsi"/>
        </w:rPr>
        <w:t>Na klimat gminy Dwikozy decydujący wpływ wywiera położenie w umiarkowanych szerokościach geograficznych Europy, z charakterystyczną równoleżnikową cyrkulacją mas powietrza. Dominuje wpływ powietrza polarno-morskiego z zachodu nad powietrzem polarno-kontynentalnym ze wschodu.</w:t>
      </w:r>
    </w:p>
    <w:p>
      <w:pPr>
        <w:pStyle w:val="Normal"/>
        <w:spacing w:lineRule="auto" w:line="240" w:before="0" w:after="0"/>
        <w:jc w:val="both"/>
        <w:rPr>
          <w:rFonts w:cs="Calibri" w:cstheme="minorHAnsi"/>
        </w:rPr>
      </w:pPr>
      <w:r>
        <w:rPr>
          <w:rFonts w:cs="Calibri" w:cstheme="minorHAnsi"/>
        </w:rPr>
        <w:t xml:space="preserve">Wedle podziału Polski na dzielnice klimatyczne, gmina Dwikozy położona jest w regionie wschodnio małopolskim, w strefie umiarkowanej zmienności występowania poszczególnych typów pogody.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Charakterystyczne ukształtowanie powierzchni powoduje występowanie różnic mikroklimatu </w:t>
        <w:br/>
        <w:t>w obrębie poszczególnych części gminy. Dotyczy to szczególnie różnic temperatury, przymrozków, mgieł, długości okresu wegetacyjnego, jakie występują pomiędzy dnami dolin i stokami, a intensywniej nasłonecznionymi terenami. Częstym zjawiskiem jest inwersja termiczna, odznaczająca się znacznym spadkiem temperatur w dolinach i wąwozach oraz zróżnicowanie termiczne i wilgotnościowe zboczy południowych, które są ciepłe i suche oraz przeciwległych - chłodnych i wilgotnych. Największe zachmurzenie występuje od listopada do lutego, a maksymalne w grudniu. Największe nasłonecznienie występuje w lecie. Na dnie Kotliny Sandomierskiej, liczba dni pogodnych maleje na skutek częstego zachmurzenia spowodowanego mgłami i inwersją temperatury.  Obszar gminy Dwikozy jest obszarem ciepłym. Średnie roczne temperatury powietrza wynoszą 8° C, najcieplejszego miesiąca to 18°C, a najchłodniejszego miesiąca - 2,7°C. Średnia długość okresu bez przymrozków wynosi 170 dni, a liczba dni mroźnych około 50 dni. Okres wegetacyjny, czyli okres obejmujący dni o temperaturze średniej dobowej powyżej 5°C wynosi średnio 213 dni, i jest zbliżony do długości okresu wegetacyjnego w całej Nizinie Nadwiślańskiej. Średnioroczne sumy opadów mieszczą się w granicach 650 - 700 mm. Statystycznie większość opadów odnotowuje się w letnim półroczu. Maksimum opadów przypada na lipiec, a minimum na luty. Nieco większe opady występują na terenach położonych przy dolinie Wisły. Teren ten charakteryzuje się także częstymi w ciepłym półroczu gradobiciami, które niszczą uprawy rolne. Przeważają słabe i łagodne wiatry (0-5m/s) głównie z kierunku zachodniego i południowo zachodniego (około 50% wiatrów corocznych). Klimat gminy jest korzystny dla większości roślin uprawianych w Polsce.</w:t>
      </w:r>
    </w:p>
    <w:p>
      <w:pPr>
        <w:pStyle w:val="Normal"/>
        <w:spacing w:lineRule="auto" w:line="240" w:before="0" w:after="0"/>
        <w:jc w:val="both"/>
        <w:rPr>
          <w:rFonts w:cs="Calibri" w:cstheme="minorHAnsi"/>
          <w:highlight w:val="yellow"/>
        </w:rPr>
      </w:pPr>
      <w:r>
        <w:rPr>
          <w:rFonts w:cs="Calibri" w:cstheme="minorHAnsi"/>
          <w:highlight w:val="yellow"/>
        </w:rPr>
      </w:r>
    </w:p>
    <w:p>
      <w:pPr>
        <w:pStyle w:val="Normal"/>
        <w:spacing w:lineRule="auto" w:line="240" w:before="0" w:after="0"/>
        <w:rPr>
          <w:rFonts w:cs="Calibri" w:cstheme="minorHAnsi"/>
          <w:b/>
          <w:b/>
          <w:bCs/>
        </w:rPr>
      </w:pPr>
      <w:r>
        <w:rPr>
          <w:rFonts w:cs="Calibri" w:cstheme="minorHAnsi"/>
          <w:b/>
          <w:bCs/>
        </w:rPr>
        <w:t>Wody powierzchniowe i podziemne</w:t>
      </w:r>
    </w:p>
    <w:p>
      <w:pPr>
        <w:pStyle w:val="Normal"/>
        <w:spacing w:lineRule="auto" w:line="240" w:before="0" w:after="0"/>
        <w:jc w:val="both"/>
        <w:rPr>
          <w:rFonts w:eastAsia="Calibri" w:cs="Calibri" w:cstheme="minorHAnsi"/>
        </w:rPr>
      </w:pPr>
      <w:r>
        <w:rPr>
          <w:rFonts w:eastAsia="Calibri" w:cs="Calibri" w:cstheme="minorHAnsi"/>
        </w:rPr>
        <w:t xml:space="preserve">Obszar Gminy Dwikozy położony jest w dorzeczu Wisły w regionie wodnym Górnej -Zachodniej Wisły, a najważniejszymi ciekami znajdującymi się w granicach gminy są: </w:t>
      </w:r>
      <w:bookmarkStart w:id="63" w:name="_Hlk118532576"/>
      <w:r>
        <w:rPr>
          <w:rFonts w:eastAsia="Calibri" w:cs="Calibri" w:cstheme="minorHAnsi"/>
        </w:rPr>
        <w:t>Wisła, Opatówka i Prypec</w:t>
      </w:r>
      <w:bookmarkEnd w:id="63"/>
      <w:r>
        <w:rPr>
          <w:rFonts w:eastAsia="Calibri" w:cs="Calibri" w:cstheme="minorHAnsi"/>
        </w:rPr>
        <w:t xml:space="preserve">. </w:t>
      </w:r>
      <w:bookmarkStart w:id="64" w:name="_Hlk110490793"/>
      <w:r>
        <w:rPr>
          <w:rFonts w:eastAsia="Calibri" w:cs="Calibri" w:cstheme="minorHAnsi"/>
        </w:rPr>
        <w:t>Na obszarze dorzecza Wisły wyznaczonych jest obecnie:</w:t>
      </w:r>
    </w:p>
    <w:p>
      <w:pPr>
        <w:pStyle w:val="Normal"/>
        <w:numPr>
          <w:ilvl w:val="1"/>
          <w:numId w:val="26"/>
        </w:numPr>
        <w:spacing w:lineRule="auto" w:line="240" w:before="0" w:after="0"/>
        <w:ind w:left="426" w:hanging="360"/>
        <w:jc w:val="both"/>
        <w:rPr>
          <w:rFonts w:eastAsia="Calibri" w:cs="Calibri" w:cstheme="minorHAnsi"/>
        </w:rPr>
      </w:pPr>
      <w:bookmarkStart w:id="65" w:name="_Hlk110490772"/>
      <w:r>
        <w:rPr>
          <w:rFonts w:eastAsia="Calibri" w:cs="Calibri" w:cstheme="minorHAnsi"/>
        </w:rPr>
        <w:t>2660 jednolitych części wód rzek,</w:t>
      </w:r>
    </w:p>
    <w:p>
      <w:pPr>
        <w:pStyle w:val="Normal"/>
        <w:numPr>
          <w:ilvl w:val="1"/>
          <w:numId w:val="26"/>
        </w:numPr>
        <w:spacing w:lineRule="auto" w:line="240" w:before="0" w:after="0"/>
        <w:ind w:left="426" w:hanging="360"/>
        <w:jc w:val="both"/>
        <w:rPr>
          <w:rFonts w:eastAsia="Calibri" w:cs="Calibri" w:cstheme="minorHAnsi"/>
        </w:rPr>
      </w:pPr>
      <w:r>
        <w:rPr>
          <w:rFonts w:eastAsia="Calibri" w:cs="Calibri" w:cstheme="minorHAnsi"/>
        </w:rPr>
        <w:t>5 jednolitych części wód przejściowych,</w:t>
      </w:r>
    </w:p>
    <w:p>
      <w:pPr>
        <w:pStyle w:val="Normal"/>
        <w:numPr>
          <w:ilvl w:val="1"/>
          <w:numId w:val="26"/>
        </w:numPr>
        <w:spacing w:lineRule="auto" w:line="240" w:before="0" w:after="0"/>
        <w:ind w:left="426" w:hanging="360"/>
        <w:jc w:val="both"/>
        <w:rPr>
          <w:rFonts w:eastAsia="Calibri" w:cs="Calibri" w:cstheme="minorHAnsi"/>
        </w:rPr>
      </w:pPr>
      <w:r>
        <w:rPr>
          <w:rFonts w:eastAsia="Calibri" w:cs="Calibri" w:cstheme="minorHAnsi"/>
        </w:rPr>
        <w:t>6 jednolitych części wód przybrzeżnych,</w:t>
      </w:r>
    </w:p>
    <w:p>
      <w:pPr>
        <w:pStyle w:val="Normal"/>
        <w:numPr>
          <w:ilvl w:val="1"/>
          <w:numId w:val="26"/>
        </w:numPr>
        <w:spacing w:lineRule="auto" w:line="240" w:before="0" w:after="0"/>
        <w:ind w:left="426" w:hanging="360"/>
        <w:jc w:val="both"/>
        <w:rPr>
          <w:rFonts w:eastAsia="Calibri" w:cs="Calibri" w:cstheme="minorHAnsi"/>
        </w:rPr>
      </w:pPr>
      <w:r>
        <w:rPr>
          <w:rFonts w:eastAsia="Calibri" w:cs="Calibri" w:cstheme="minorHAnsi"/>
        </w:rPr>
        <w:t>481 jednolite części wód jezior.</w:t>
      </w:r>
    </w:p>
    <w:p>
      <w:pPr>
        <w:pStyle w:val="Normal"/>
        <w:spacing w:lineRule="auto" w:line="240" w:before="0" w:after="0"/>
        <w:jc w:val="both"/>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r>
        <w:rPr>
          <w:rFonts w:eastAsia="Calibri" w:cs="Calibri" w:cstheme="minorHAnsi"/>
        </w:rPr>
        <w:t>Obszar dorzecza Wisły obejmuje również 90 jednolite części wód podziemnych. Na obszarze dorzecza Wisły ustanowiono również obszary chronione, które w szczególny sposób są traktowane w planie gospodarowania wodami:</w:t>
      </w:r>
    </w:p>
    <w:p>
      <w:pPr>
        <w:pStyle w:val="Normal"/>
        <w:numPr>
          <w:ilvl w:val="0"/>
          <w:numId w:val="23"/>
        </w:numPr>
        <w:spacing w:lineRule="auto" w:line="240" w:before="0" w:after="0"/>
        <w:ind w:left="426" w:hanging="360"/>
        <w:contextualSpacing/>
        <w:jc w:val="both"/>
        <w:rPr>
          <w:rFonts w:eastAsia="Calibri" w:cs="Calibri" w:cstheme="minorHAnsi"/>
        </w:rPr>
      </w:pPr>
      <w:r>
        <w:rPr>
          <w:rFonts w:eastAsia="Calibri" w:cs="Calibri" w:cstheme="minorHAnsi"/>
        </w:rPr>
        <w:t>jcw przeznaczone do poboru wody dla zaopatrzenia ludności,</w:t>
      </w:r>
    </w:p>
    <w:p>
      <w:pPr>
        <w:pStyle w:val="Normal"/>
        <w:numPr>
          <w:ilvl w:val="0"/>
          <w:numId w:val="22"/>
        </w:numPr>
        <w:spacing w:lineRule="auto" w:line="240" w:before="0" w:after="0"/>
        <w:ind w:left="426" w:hanging="360"/>
        <w:contextualSpacing/>
        <w:jc w:val="both"/>
        <w:rPr>
          <w:rFonts w:eastAsia="Calibri" w:cs="Calibri" w:cstheme="minorHAnsi"/>
        </w:rPr>
      </w:pPr>
      <w:r>
        <w:rPr>
          <w:rFonts w:eastAsia="Calibri" w:cs="Calibri" w:cstheme="minorHAnsi"/>
        </w:rPr>
        <w:t>jcw przeznaczone do celów rekreacyjnych, w tym kąpieliskowych,</w:t>
      </w:r>
    </w:p>
    <w:p>
      <w:pPr>
        <w:pStyle w:val="Normal"/>
        <w:numPr>
          <w:ilvl w:val="0"/>
          <w:numId w:val="22"/>
        </w:numPr>
        <w:spacing w:lineRule="auto" w:line="240" w:before="0" w:after="0"/>
        <w:ind w:left="426" w:hanging="360"/>
        <w:contextualSpacing/>
        <w:jc w:val="both"/>
        <w:rPr>
          <w:rFonts w:eastAsia="Calibri" w:cs="Calibri" w:cstheme="minorHAnsi"/>
        </w:rPr>
      </w:pPr>
      <w:bookmarkStart w:id="66" w:name="_Hlk110490772"/>
      <w:r>
        <w:rPr>
          <w:rFonts w:eastAsia="Calibri" w:cs="Calibri" w:cstheme="minorHAnsi"/>
        </w:rPr>
        <w:t>obszary wrażliwe na eutrofizację.</w:t>
      </w:r>
      <w:bookmarkEnd w:id="64"/>
      <w:bookmarkEnd w:id="66"/>
    </w:p>
    <w:p>
      <w:pPr>
        <w:pStyle w:val="Normal"/>
        <w:spacing w:lineRule="auto" w:line="240" w:before="0" w:after="0"/>
        <w:jc w:val="both"/>
        <w:rPr>
          <w:rFonts w:eastAsia="Calibri" w:cs="Calibri" w:cstheme="minorHAnsi"/>
          <w:highlight w:val="yellow"/>
        </w:rPr>
      </w:pPr>
      <w:r>
        <w:rPr>
          <w:rFonts w:eastAsia="Calibri" w:cs="Calibri" w:cstheme="minorHAnsi"/>
          <w:highlight w:val="yellow"/>
        </w:rPr>
      </w:r>
    </w:p>
    <w:p>
      <w:pPr>
        <w:sectPr>
          <w:headerReference w:type="default" r:id="rId10"/>
          <w:headerReference w:type="first" r:id="rId11"/>
          <w:footerReference w:type="default" r:id="rId12"/>
          <w:footnotePr>
            <w:numFmt w:val="decimal"/>
          </w:footnotePr>
          <w:type w:val="nextPage"/>
          <w:pgSz w:w="11906" w:h="16838"/>
          <w:pgMar w:left="1440" w:right="1274" w:gutter="0" w:header="706" w:top="1440" w:footer="706" w:bottom="1440"/>
          <w:pgNumType w:fmt="decimal"/>
          <w:formProt w:val="false"/>
          <w:titlePg/>
          <w:textDirection w:val="lrTb"/>
          <w:docGrid w:type="default" w:linePitch="360" w:charSpace="4096"/>
        </w:sectPr>
        <w:pStyle w:val="Normal"/>
        <w:spacing w:lineRule="auto" w:line="240" w:before="0" w:after="0"/>
        <w:jc w:val="both"/>
        <w:rPr>
          <w:rFonts w:eastAsia="Calibri" w:cs="Calibri" w:cstheme="minorHAnsi"/>
        </w:rPr>
      </w:pPr>
      <w:r>
        <w:rPr>
          <w:rFonts w:eastAsia="Calibri" w:cs="Calibri" w:cstheme="minorHAnsi"/>
        </w:rPr>
        <w:t xml:space="preserve">Obszar gminy Dwikozy znajduje się w zasięgu następujących Jednolitych Części Wód Powierzchniowych: </w:t>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67" w:name="_Toc118887759"/>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10</w:t>
      </w:r>
      <w:r>
        <w:rPr>
          <w:b w:val="false"/>
          <w:bCs w:val="false"/>
          <w:rFonts w:cs="Calibri"/>
        </w:rPr>
        <w:fldChar w:fldCharType="end"/>
      </w:r>
      <w:r>
        <w:rPr>
          <w:rFonts w:cs="Calibri" w:cstheme="minorHAnsi"/>
          <w:b w:val="false"/>
          <w:bCs w:val="false"/>
        </w:rPr>
        <w:t xml:space="preserve"> Wykaz Jednolitych Części Wód Powierzchniowych znajdujących się na terenie gminy Dwikozy</w:t>
      </w:r>
      <w:bookmarkEnd w:id="67"/>
    </w:p>
    <w:tbl>
      <w:tblPr>
        <w:tblW w:w="1587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98"/>
        <w:gridCol w:w="1784"/>
        <w:gridCol w:w="730"/>
        <w:gridCol w:w="1292"/>
        <w:gridCol w:w="1985"/>
        <w:gridCol w:w="2918"/>
        <w:gridCol w:w="5264"/>
      </w:tblGrid>
      <w:tr>
        <w:trPr>
          <w:trHeight w:val="416" w:hRule="atLeast"/>
        </w:trPr>
        <w:tc>
          <w:tcPr>
            <w:tcW w:w="18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bookmarkStart w:id="68" w:name="_Hlk118532509"/>
            <w:r>
              <w:rPr>
                <w:rFonts w:eastAsia="Times New Roman" w:cs="Calibri" w:cstheme="minorHAnsi"/>
                <w:b/>
                <w:bCs/>
                <w:sz w:val="20"/>
                <w:szCs w:val="20"/>
                <w:lang w:eastAsia="pl-PL"/>
              </w:rPr>
              <w:t>KOD JCWP</w:t>
            </w:r>
          </w:p>
        </w:tc>
        <w:tc>
          <w:tcPr>
            <w:tcW w:w="178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Nazwa JCWP</w:t>
            </w:r>
          </w:p>
        </w:tc>
        <w:tc>
          <w:tcPr>
            <w:tcW w:w="73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Status</w:t>
            </w:r>
          </w:p>
        </w:tc>
        <w:tc>
          <w:tcPr>
            <w:tcW w:w="129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Stan (ogólny)</w:t>
            </w:r>
          </w:p>
        </w:tc>
        <w:tc>
          <w:tcPr>
            <w:tcW w:w="198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Ocena ryzyka nieosiągnięcia celu środowiskowego</w:t>
            </w:r>
          </w:p>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(zagrożona/ niezagrożona)</w:t>
            </w:r>
          </w:p>
        </w:tc>
        <w:tc>
          <w:tcPr>
            <w:tcW w:w="291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Przypisane cele środowiskowe</w:t>
            </w:r>
          </w:p>
        </w:tc>
        <w:tc>
          <w:tcPr>
            <w:tcW w:w="526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Działania przypisane w Programie wodnośrodowiskowym kraju</w:t>
            </w:r>
          </w:p>
        </w:tc>
      </w:tr>
      <w:tr>
        <w:trPr>
          <w:trHeight w:val="416" w:hRule="atLeast"/>
        </w:trPr>
        <w:tc>
          <w:tcPr>
            <w:tcW w:w="1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RW20001621992</w:t>
            </w:r>
          </w:p>
        </w:tc>
        <w:tc>
          <w:tcPr>
            <w:tcW w:w="1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Prypeć</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NAT</w:t>
            </w:r>
          </w:p>
        </w:tc>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zły</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zagrożona</w:t>
            </w:r>
          </w:p>
        </w:tc>
        <w:tc>
          <w:tcPr>
            <w:tcW w:w="29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dobry stan ekologiczny dobry stan chemiczny</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podstawowe:</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kontrola postępowania w zakresie gromadzenia ścieków przez użytkowników prywatnych i przedsiębiorców oraz oczyszczania ścieków przez użytkowników prywatnych z częstotliwością co</w:t>
            </w:r>
            <w:r>
              <w:rPr>
                <w:rFonts w:cs="Calibri" w:cstheme="minorHAnsi"/>
                <w:sz w:val="21"/>
                <w:szCs w:val="21"/>
              </w:rPr>
              <w:t xml:space="preserve"> </w:t>
            </w:r>
            <w:r>
              <w:rPr>
                <w:rFonts w:eastAsia="Times New Roman" w:cs="Calibri" w:cstheme="minorHAnsi"/>
                <w:color w:val="000000"/>
                <w:sz w:val="21"/>
                <w:szCs w:val="21"/>
                <w:lang w:eastAsia="pl-PL"/>
              </w:rPr>
              <w:t>najmniej raz na 3 lata,</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sieci kanalizacyjnej w aglomeracji Sandomierz,</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nowych zbiorników bezodpływowych oraz remont istniejących,</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regularny wywóz nieczystości płynnych,</w:t>
            </w:r>
          </w:p>
          <w:p>
            <w:pPr>
              <w:pStyle w:val="Normal"/>
              <w:widowControl w:val="false"/>
              <w:numPr>
                <w:ilvl w:val="0"/>
                <w:numId w:val="24"/>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indywidualnych systemów oczyszczania ścieków.</w:t>
            </w:r>
          </w:p>
          <w:p>
            <w:pPr>
              <w:pStyle w:val="Normal"/>
              <w:widowControl w:val="false"/>
              <w:spacing w:lineRule="auto" w:line="240" w:before="0" w:after="0"/>
              <w:ind w:left="1" w:hanging="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uzupełniające:</w:t>
            </w:r>
          </w:p>
          <w:p>
            <w:pPr>
              <w:pStyle w:val="ListParagraph"/>
              <w:widowControl w:val="false"/>
              <w:numPr>
                <w:ilvl w:val="0"/>
                <w:numId w:val="28"/>
              </w:numPr>
              <w:spacing w:lineRule="auto" w:line="240" w:before="0" w:after="0"/>
              <w:ind w:left="309" w:hanging="284"/>
              <w:rPr>
                <w:rFonts w:ascii="Calibri" w:hAnsi="Calibri" w:eastAsia="Times New Roman" w:cs="Calibri" w:asciiTheme="minorHAnsi" w:cstheme="minorHAnsi" w:hAnsiTheme="minorHAnsi"/>
                <w:sz w:val="21"/>
                <w:szCs w:val="21"/>
                <w:lang w:eastAsia="pl-PL"/>
              </w:rPr>
            </w:pPr>
            <w:r>
              <w:rPr>
                <w:rFonts w:eastAsia="Times New Roman" w:cs="Calibri" w:cstheme="minorHAnsi"/>
                <w:color w:val="000000"/>
                <w:sz w:val="21"/>
                <w:szCs w:val="21"/>
                <w:lang w:eastAsia="pl-PL"/>
              </w:rPr>
              <w:t>monitoring badawczy wód</w:t>
            </w:r>
          </w:p>
        </w:tc>
      </w:tr>
      <w:tr>
        <w:trPr>
          <w:trHeight w:val="416" w:hRule="atLeast"/>
        </w:trPr>
        <w:tc>
          <w:tcPr>
            <w:tcW w:w="18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RW20002121999</w:t>
            </w:r>
          </w:p>
        </w:tc>
        <w:tc>
          <w:tcPr>
            <w:tcW w:w="17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Wisła od Wisłoki do Sanu</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SZCW</w:t>
            </w:r>
          </w:p>
        </w:tc>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zły</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zagrożona</w:t>
            </w:r>
          </w:p>
        </w:tc>
        <w:tc>
          <w:tcPr>
            <w:tcW w:w="29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dobry potencjał ekologiczny;</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możliwość migracji organizmów wodnych na odcinku cieku istotnego</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 Wisła od Sanu do Wisłoki, dobry stan chemiczny</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podstawowe:</w:t>
            </w:r>
          </w:p>
          <w:p>
            <w:pPr>
              <w:pStyle w:val="Normal"/>
              <w:widowControl w:val="false"/>
              <w:numPr>
                <w:ilvl w:val="0"/>
                <w:numId w:val="27"/>
              </w:numPr>
              <w:spacing w:lineRule="auto" w:line="240" w:before="0" w:after="0"/>
              <w:ind w:left="346"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modernizacja oczyszczalni ścieków Sandomierzu,</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regularny wywóz nieczystości płynnych,</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sieci kanalizacyjnej w aglomeracji Sandomierz,</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opracowanie oceny jakości wody wykorzystywanej do zaopatrzenia ludności w wodę przeznaczoną do spożycia</w:t>
            </w:r>
          </w:p>
        </w:tc>
      </w:tr>
      <w:tr>
        <w:trPr>
          <w:trHeight w:val="416" w:hRule="atLeast"/>
        </w:trPr>
        <w:tc>
          <w:tcPr>
            <w:tcW w:w="18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RW2000212319</w:t>
            </w:r>
          </w:p>
        </w:tc>
        <w:tc>
          <w:tcPr>
            <w:tcW w:w="17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Wisła od Sanu do Sanny</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NAT</w:t>
            </w:r>
          </w:p>
        </w:tc>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zły</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zagrożona</w:t>
            </w:r>
          </w:p>
        </w:tc>
        <w:tc>
          <w:tcPr>
            <w:tcW w:w="29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dobry stan ekologiczny; możliwość migracji organizmów wodnych na</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odcinku cieku istotnego - Wisła od Sanny do Sanu, dobry stan chemiczny</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podstawowe:</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regularny wywóz nieczystości płynnych,</w:t>
            </w:r>
          </w:p>
        </w:tc>
      </w:tr>
      <w:tr>
        <w:trPr>
          <w:trHeight w:val="416" w:hRule="atLeast"/>
        </w:trPr>
        <w:tc>
          <w:tcPr>
            <w:tcW w:w="18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RW2000623152</w:t>
            </w:r>
          </w:p>
        </w:tc>
        <w:tc>
          <w:tcPr>
            <w:tcW w:w="17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Smugi</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NAT</w:t>
            </w:r>
          </w:p>
        </w:tc>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zły</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zagrożona</w:t>
            </w:r>
          </w:p>
        </w:tc>
        <w:tc>
          <w:tcPr>
            <w:tcW w:w="29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dobry stan ekologiczny dobry stan chemiczny</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podstawowe:</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kontrola postępowania w zakresie gromadzenia ścieków przez użytkowników prywatnych i przedsiębiorców oraz oczyszczania ścieków przez użytkowników prywatnych z częstotliwością co</w:t>
            </w:r>
            <w:r>
              <w:rPr>
                <w:rFonts w:cs="Calibri" w:cstheme="minorHAnsi"/>
                <w:sz w:val="21"/>
                <w:szCs w:val="21"/>
              </w:rPr>
              <w:t xml:space="preserve"> </w:t>
            </w:r>
            <w:r>
              <w:rPr>
                <w:rFonts w:eastAsia="Times New Roman" w:cs="Calibri" w:cstheme="minorHAnsi"/>
                <w:color w:val="000000"/>
                <w:sz w:val="21"/>
                <w:szCs w:val="21"/>
                <w:lang w:eastAsia="pl-PL"/>
              </w:rPr>
              <w:t>najmniej raz na 3 lata,</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regularny wywóz nieczystości płynnych,</w:t>
            </w:r>
          </w:p>
          <w:p>
            <w:pPr>
              <w:pStyle w:val="Normal"/>
              <w:widowControl w:val="false"/>
              <w:spacing w:lineRule="auto" w:line="240" w:before="0" w:after="0"/>
              <w:ind w:left="1" w:hanging="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uzupełniające:</w:t>
            </w:r>
          </w:p>
          <w:p>
            <w:pPr>
              <w:pStyle w:val="ListParagraph"/>
              <w:widowControl w:val="false"/>
              <w:numPr>
                <w:ilvl w:val="0"/>
                <w:numId w:val="28"/>
              </w:numPr>
              <w:spacing w:lineRule="auto" w:line="240" w:before="0" w:after="0"/>
              <w:ind w:left="346" w:hanging="346"/>
              <w:rPr>
                <w:rFonts w:ascii="Calibri" w:hAnsi="Calibri" w:eastAsia="Times New Roman" w:cs="Calibri" w:asciiTheme="minorHAnsi" w:cstheme="minorHAnsi" w:hAnsiTheme="minorHAnsi"/>
                <w:lang w:eastAsia="pl-PL"/>
              </w:rPr>
            </w:pPr>
            <w:r>
              <w:rPr>
                <w:rFonts w:eastAsia="Times New Roman" w:cs="Calibri" w:cstheme="minorHAnsi"/>
                <w:color w:val="000000"/>
                <w:sz w:val="21"/>
                <w:szCs w:val="21"/>
                <w:lang w:eastAsia="pl-PL"/>
              </w:rPr>
              <w:t>monitoring badawczy wód</w:t>
            </w:r>
          </w:p>
        </w:tc>
      </w:tr>
      <w:tr>
        <w:trPr>
          <w:trHeight w:val="416" w:hRule="atLeast"/>
        </w:trPr>
        <w:tc>
          <w:tcPr>
            <w:tcW w:w="18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RW2000623169</w:t>
            </w:r>
          </w:p>
        </w:tc>
        <w:tc>
          <w:tcPr>
            <w:tcW w:w="17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Czyżówka</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NAT</w:t>
            </w:r>
          </w:p>
        </w:tc>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zły</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zagrożona</w:t>
            </w:r>
          </w:p>
        </w:tc>
        <w:tc>
          <w:tcPr>
            <w:tcW w:w="29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dobry stan ekologiczny dobry stan chemiczny</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podstawowe:</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modernizacja oczyszczalni ścieków Ożarów,</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kontrola postępowania w zakresie gromadzenia ścieków przez użytkowników prywatnych i przedsiębiorców oraz oczyszczania ścieków przez użytkowników prywatnych z częstotliwością co</w:t>
            </w:r>
            <w:r>
              <w:rPr>
                <w:rFonts w:cs="Calibri" w:cstheme="minorHAnsi"/>
                <w:sz w:val="21"/>
                <w:szCs w:val="21"/>
              </w:rPr>
              <w:t xml:space="preserve"> </w:t>
            </w:r>
            <w:r>
              <w:rPr>
                <w:rFonts w:eastAsia="Times New Roman" w:cs="Calibri" w:cstheme="minorHAnsi"/>
                <w:color w:val="000000"/>
                <w:sz w:val="21"/>
                <w:szCs w:val="21"/>
                <w:lang w:eastAsia="pl-PL"/>
              </w:rPr>
              <w:t>najmniej raz na 3 lata,</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i modernizacja sieci kanalizacyjnej w aglomeracji Ożarów</w:t>
            </w:r>
          </w:p>
          <w:p>
            <w:pPr>
              <w:pStyle w:val="Normal"/>
              <w:widowControl w:val="false"/>
              <w:spacing w:lineRule="auto" w:line="240" w:before="0" w:after="0"/>
              <w:ind w:left="1" w:hanging="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uzupełniające:</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monitoring badawczy wód</w:t>
            </w:r>
          </w:p>
        </w:tc>
      </w:tr>
      <w:tr>
        <w:trPr>
          <w:trHeight w:val="416" w:hRule="atLeast"/>
        </w:trPr>
        <w:tc>
          <w:tcPr>
            <w:tcW w:w="18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RW20009231499</w:t>
            </w:r>
          </w:p>
        </w:tc>
        <w:tc>
          <w:tcPr>
            <w:tcW w:w="17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color w:val="000000"/>
              </w:rPr>
              <w:t>Opatówka od Żychawy do ujścia</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NAT</w:t>
            </w:r>
          </w:p>
        </w:tc>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zły</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zagrożona</w:t>
            </w:r>
          </w:p>
        </w:tc>
        <w:tc>
          <w:tcPr>
            <w:tcW w:w="29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dobry stan ekologiczny dobry stan chemiczny</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Działania podstawowe:</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nowych zbiorników bezodpływowych oraz remont istniejących,</w:t>
            </w:r>
          </w:p>
          <w:p>
            <w:pPr>
              <w:pStyle w:val="Normal"/>
              <w:widowControl w:val="false"/>
              <w:numPr>
                <w:ilvl w:val="0"/>
                <w:numId w:val="27"/>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regularny wywóz nieczystości płynnych,</w:t>
            </w:r>
          </w:p>
          <w:p>
            <w:pPr>
              <w:pStyle w:val="Normal"/>
              <w:widowControl w:val="false"/>
              <w:numPr>
                <w:ilvl w:val="0"/>
                <w:numId w:val="24"/>
              </w:numPr>
              <w:spacing w:lineRule="auto" w:line="240" w:before="0" w:after="0"/>
              <w:ind w:left="361" w:hanging="360"/>
              <w:contextualSpacing/>
              <w:jc w:val="both"/>
              <w:rPr>
                <w:rFonts w:eastAsia="Times New Roman" w:cs="Calibri" w:cstheme="minorHAnsi"/>
                <w:color w:val="000000"/>
                <w:sz w:val="21"/>
                <w:szCs w:val="21"/>
                <w:lang w:eastAsia="pl-PL"/>
              </w:rPr>
            </w:pPr>
            <w:r>
              <w:rPr>
                <w:rFonts w:eastAsia="Times New Roman" w:cs="Calibri" w:cstheme="minorHAnsi"/>
                <w:color w:val="000000"/>
                <w:sz w:val="21"/>
                <w:szCs w:val="21"/>
                <w:lang w:eastAsia="pl-PL"/>
              </w:rPr>
              <w:t>budowa indywidualnych systemów oczyszczania ścieków.</w:t>
            </w:r>
          </w:p>
        </w:tc>
      </w:tr>
      <w:tr>
        <w:trPr>
          <w:trHeight w:val="290" w:hRule="atLeast"/>
        </w:trPr>
        <w:tc>
          <w:tcPr>
            <w:tcW w:w="10607" w:type="dxa"/>
            <w:gridSpan w:val="6"/>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Źródło danych: baza danych aPGW</w:t>
            </w:r>
          </w:p>
        </w:tc>
        <w:tc>
          <w:tcPr>
            <w:tcW w:w="5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bookmarkStart w:id="69" w:name="_Hlk118532509"/>
            <w:r>
              <w:rPr>
                <w:rFonts w:eastAsia="Times New Roman" w:cs="Calibri" w:cstheme="minorHAnsi"/>
                <w:color w:val="000000"/>
                <w:lang w:eastAsia="pl-PL"/>
              </w:rPr>
              <w:t>Źródło danych: baza danych aPWŚK</w:t>
            </w:r>
            <w:bookmarkEnd w:id="69"/>
          </w:p>
        </w:tc>
      </w:tr>
    </w:tbl>
    <w:p>
      <w:pPr>
        <w:pStyle w:val="Normal"/>
        <w:spacing w:lineRule="auto" w:line="240" w:before="0" w:after="0"/>
        <w:rPr>
          <w:rFonts w:cs="Calibri" w:cstheme="minorHAnsi"/>
        </w:rPr>
      </w:pPr>
      <w:r>
        <w:rPr>
          <w:rFonts w:cs="Calibri" w:cstheme="minorHAnsi"/>
        </w:rPr>
      </w:r>
    </w:p>
    <w:p>
      <w:pPr>
        <w:pStyle w:val="Normal"/>
        <w:spacing w:lineRule="auto" w:line="240" w:before="0" w:after="0"/>
        <w:jc w:val="both"/>
        <w:rPr>
          <w:rFonts w:eastAsia="Calibri" w:cs="Calibri" w:cstheme="minorHAnsi"/>
        </w:rPr>
      </w:pPr>
      <w:bookmarkStart w:id="70" w:name="_Hlk118532661"/>
      <w:r>
        <w:rPr>
          <w:rFonts w:eastAsia="Calibri" w:cs="Calibri" w:cstheme="minorHAnsi"/>
        </w:rPr>
        <w:t xml:space="preserve">oraz Jednolitych Części Wód Podziemnych (JCWPd) nr 117 (PLGW2000117), 118 (PLGW2000118), 135 (PLGW2000135). </w:t>
      </w:r>
      <w:bookmarkEnd w:id="70"/>
    </w:p>
    <w:p>
      <w:pPr>
        <w:pStyle w:val="Normal"/>
        <w:spacing w:lineRule="auto" w:line="240" w:before="0" w:after="0"/>
        <w:jc w:val="both"/>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r>
        <w:rPr>
          <w:rFonts w:eastAsia="Calibri"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71" w:name="_Toc118887760"/>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11</w:t>
      </w:r>
      <w:r>
        <w:rPr>
          <w:b w:val="false"/>
          <w:bCs w:val="false"/>
          <w:rFonts w:cs="Calibri"/>
        </w:rPr>
        <w:fldChar w:fldCharType="end"/>
      </w:r>
      <w:r>
        <w:rPr>
          <w:rFonts w:cs="Calibri" w:cstheme="minorHAnsi"/>
          <w:b w:val="false"/>
          <w:bCs w:val="false"/>
        </w:rPr>
        <w:t xml:space="preserve"> Wykaz Jednolitych Części Wód Podziemnych znajdujących się na terenie gminy Dwikozy</w:t>
      </w:r>
      <w:bookmarkEnd w:id="71"/>
      <w:r>
        <w:rPr>
          <w:rFonts w:cs="Calibri" w:cstheme="minorHAnsi"/>
          <w:b w:val="false"/>
          <w:bCs w:val="false"/>
        </w:rPr>
        <w:t xml:space="preserve">    </w:t>
      </w:r>
    </w:p>
    <w:tbl>
      <w:tblPr>
        <w:tblW w:w="1523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616"/>
        <w:gridCol w:w="1044"/>
        <w:gridCol w:w="1074"/>
        <w:gridCol w:w="2431"/>
        <w:gridCol w:w="3067"/>
        <w:gridCol w:w="6005"/>
      </w:tblGrid>
      <w:tr>
        <w:trPr>
          <w:trHeight w:val="831" w:hRule="atLeast"/>
        </w:trPr>
        <w:tc>
          <w:tcPr>
            <w:tcW w:w="161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bookmarkStart w:id="72" w:name="_Hlk118532685"/>
            <w:r>
              <w:rPr>
                <w:rFonts w:eastAsia="Times New Roman" w:cs="Calibri" w:cstheme="minorHAnsi"/>
                <w:b/>
                <w:bCs/>
                <w:sz w:val="20"/>
                <w:szCs w:val="20"/>
                <w:lang w:eastAsia="pl-PL"/>
              </w:rPr>
              <w:t>KOD JCWPd</w:t>
            </w:r>
          </w:p>
        </w:tc>
        <w:tc>
          <w:tcPr>
            <w:tcW w:w="104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Nazwa JCWPd</w:t>
            </w:r>
          </w:p>
        </w:tc>
        <w:tc>
          <w:tcPr>
            <w:tcW w:w="107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Stan (ogólny)</w:t>
            </w:r>
          </w:p>
        </w:tc>
        <w:tc>
          <w:tcPr>
            <w:tcW w:w="243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Ocena ryzyka nieosiągnięcia celu</w:t>
            </w:r>
          </w:p>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środowiskowego (zagrożona/</w:t>
            </w:r>
          </w:p>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niezagrożona)</w:t>
            </w:r>
          </w:p>
        </w:tc>
        <w:tc>
          <w:tcPr>
            <w:tcW w:w="306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Przypisane cele środowiskowe</w:t>
            </w:r>
          </w:p>
        </w:tc>
        <w:tc>
          <w:tcPr>
            <w:tcW w:w="600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sz w:val="20"/>
                <w:szCs w:val="20"/>
                <w:lang w:eastAsia="pl-PL"/>
              </w:rPr>
            </w:pPr>
            <w:r>
              <w:rPr>
                <w:rFonts w:eastAsia="Times New Roman" w:cs="Calibri" w:cstheme="minorHAnsi"/>
                <w:b/>
                <w:bCs/>
                <w:sz w:val="20"/>
                <w:szCs w:val="20"/>
                <w:lang w:eastAsia="pl-PL"/>
              </w:rPr>
              <w:t>Działania przypisane w Programie wodnośrodowiskowym kraju</w:t>
            </w:r>
          </w:p>
        </w:tc>
      </w:tr>
      <w:tr>
        <w:trPr>
          <w:trHeight w:val="207" w:hRule="atLeast"/>
        </w:trPr>
        <w:tc>
          <w:tcPr>
            <w:tcW w:w="1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PLGW2000117</w:t>
            </w:r>
          </w:p>
        </w:tc>
        <w:tc>
          <w:tcPr>
            <w:tcW w:w="104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117</w:t>
            </w:r>
          </w:p>
        </w:tc>
        <w:tc>
          <w:tcPr>
            <w:tcW w:w="10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dobry</w:t>
            </w:r>
          </w:p>
        </w:tc>
        <w:tc>
          <w:tcPr>
            <w:tcW w:w="24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niezagrożona</w:t>
            </w:r>
          </w:p>
        </w:tc>
        <w:tc>
          <w:tcPr>
            <w:tcW w:w="3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dobry stan chemiczny dobry stan ilościowy</w:t>
            </w:r>
          </w:p>
        </w:tc>
        <w:tc>
          <w:tcPr>
            <w:tcW w:w="60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lang w:eastAsia="pl-PL"/>
              </w:rPr>
            </w:pPr>
            <w:r>
              <w:rPr>
                <w:rFonts w:eastAsia="Times New Roman" w:cs="Calibri" w:cstheme="minorHAnsi"/>
                <w:color w:val="000000"/>
                <w:lang w:eastAsia="pl-PL"/>
              </w:rPr>
              <w:t>Działania podstawowe:</w:t>
            </w:r>
          </w:p>
          <w:p>
            <w:pPr>
              <w:pStyle w:val="Normal"/>
              <w:widowControl w:val="false"/>
              <w:numPr>
                <w:ilvl w:val="0"/>
                <w:numId w:val="24"/>
              </w:numPr>
              <w:tabs>
                <w:tab w:val="clear" w:pos="720"/>
                <w:tab w:val="left" w:pos="332" w:leader="none"/>
              </w:tabs>
              <w:spacing w:lineRule="auto" w:line="240" w:before="0" w:after="0"/>
              <w:ind w:left="274" w:hanging="274"/>
              <w:contextualSpacing/>
              <w:jc w:val="both"/>
              <w:rPr>
                <w:rFonts w:eastAsia="Times New Roman" w:cs="Calibri" w:cstheme="minorHAnsi"/>
                <w:color w:val="000000"/>
                <w:lang w:eastAsia="pl-PL"/>
              </w:rPr>
            </w:pPr>
            <w:r>
              <w:rPr>
                <w:rFonts w:eastAsia="Times New Roman" w:cs="Calibri" w:cstheme="minorHAnsi"/>
                <w:color w:val="000000"/>
                <w:lang w:eastAsia="pl-PL"/>
              </w:rPr>
              <w:t>coroczne raportowanie pomiarów ilości eksploatowanych wód podziemnych przez właściciela/użytkownika ujęcia</w:t>
            </w:r>
          </w:p>
          <w:p>
            <w:pPr>
              <w:pStyle w:val="Normal"/>
              <w:widowControl w:val="false"/>
              <w:numPr>
                <w:ilvl w:val="0"/>
                <w:numId w:val="24"/>
              </w:numPr>
              <w:tabs>
                <w:tab w:val="clear" w:pos="720"/>
                <w:tab w:val="left" w:pos="332" w:leader="none"/>
              </w:tabs>
              <w:spacing w:lineRule="auto" w:line="240" w:before="0" w:after="0"/>
              <w:ind w:left="274" w:hanging="274"/>
              <w:contextualSpacing/>
              <w:jc w:val="both"/>
              <w:rPr>
                <w:rFonts w:eastAsia="Times New Roman" w:cs="Calibri" w:cstheme="minorHAnsi"/>
                <w:color w:val="000000"/>
                <w:lang w:eastAsia="pl-PL"/>
              </w:rPr>
            </w:pPr>
            <w:r>
              <w:rPr>
                <w:rFonts w:eastAsia="Times New Roman" w:cs="Calibri" w:cstheme="minorHAnsi"/>
                <w:color w:val="000000"/>
                <w:lang w:eastAsia="pl-PL"/>
              </w:rPr>
              <w:t>coroczne raportowanie pomiarów ilości eksploatowanych wód podziemnych przez właściciela/użytkownika ujęcia</w:t>
            </w:r>
          </w:p>
        </w:tc>
      </w:tr>
      <w:tr>
        <w:trPr>
          <w:trHeight w:val="207" w:hRule="atLeast"/>
        </w:trPr>
        <w:tc>
          <w:tcPr>
            <w:tcW w:w="161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PLGW2000118</w:t>
            </w:r>
          </w:p>
        </w:tc>
        <w:tc>
          <w:tcPr>
            <w:tcW w:w="104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118</w:t>
            </w:r>
          </w:p>
        </w:tc>
        <w:tc>
          <w:tcPr>
            <w:tcW w:w="10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dobry</w:t>
            </w:r>
          </w:p>
        </w:tc>
        <w:tc>
          <w:tcPr>
            <w:tcW w:w="24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niezagrożona</w:t>
            </w:r>
          </w:p>
        </w:tc>
        <w:tc>
          <w:tcPr>
            <w:tcW w:w="3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dobry stan chemiczny dobry stan ilościowy</w:t>
            </w:r>
          </w:p>
        </w:tc>
        <w:tc>
          <w:tcPr>
            <w:tcW w:w="60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lang w:eastAsia="pl-PL"/>
              </w:rPr>
            </w:pPr>
            <w:r>
              <w:rPr>
                <w:rFonts w:eastAsia="Times New Roman" w:cs="Calibri" w:cstheme="minorHAnsi"/>
                <w:color w:val="000000"/>
                <w:lang w:eastAsia="pl-PL"/>
              </w:rPr>
              <w:t>Działania podstawowe:</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wydanie rozporządzenia na potrzeby ustanowienia obszaru ochronnego zbiornika wód śródlądowych (GZWP 425)</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coroczne raportowanie pomiarów ilości eksploatowanych wód podziemnych przez właściciela/użytkownika ujęcia</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wykonanie reambulacji dokumentacji hydrogeologicznych określających warunki hydrogeologiczne w związku z ustanawianiem obszarów ochronnych</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opracowanie dokumentacji na potrzeby ustanowienia obszaru ochronnego zbiornika wód śródlądowych (GZWP 406)</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opracowanie projektu rozporządzenia na potrzeby ustanowienia obszaru ochronnego zbiornika wód śródlądowych (GZWP 406)</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wydanie rozporządzenia na potrzeby ustanowienia obszaru ochronnego zbiornika wód śródlądowych (GZWP 406)</w:t>
            </w:r>
          </w:p>
        </w:tc>
      </w:tr>
      <w:tr>
        <w:trPr>
          <w:trHeight w:val="207" w:hRule="atLeast"/>
        </w:trPr>
        <w:tc>
          <w:tcPr>
            <w:tcW w:w="161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PLGW2000135</w:t>
            </w:r>
          </w:p>
        </w:tc>
        <w:tc>
          <w:tcPr>
            <w:tcW w:w="104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135</w:t>
            </w:r>
          </w:p>
        </w:tc>
        <w:tc>
          <w:tcPr>
            <w:tcW w:w="10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dobry</w:t>
            </w:r>
          </w:p>
        </w:tc>
        <w:tc>
          <w:tcPr>
            <w:tcW w:w="24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zagrożona</w:t>
            </w:r>
          </w:p>
        </w:tc>
        <w:tc>
          <w:tcPr>
            <w:tcW w:w="3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dobry stan chemiczny dobry stan ilościowy</w:t>
            </w:r>
          </w:p>
        </w:tc>
        <w:tc>
          <w:tcPr>
            <w:tcW w:w="60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eastAsia="Times New Roman" w:cs="Calibri" w:cstheme="minorHAnsi"/>
                <w:color w:val="000000"/>
                <w:lang w:eastAsia="pl-PL"/>
              </w:rPr>
            </w:pPr>
            <w:r>
              <w:rPr>
                <w:rFonts w:eastAsia="Times New Roman" w:cs="Calibri" w:cstheme="minorHAnsi"/>
                <w:color w:val="000000"/>
                <w:lang w:eastAsia="pl-PL"/>
              </w:rPr>
              <w:t>Działania podstawowe:</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przegląd pozwoleń wodnoprawnych związanych z poborem wód podziemnych</w:t>
            </w:r>
          </w:p>
          <w:p>
            <w:pPr>
              <w:pStyle w:val="Normal"/>
              <w:widowControl w:val="false"/>
              <w:numPr>
                <w:ilvl w:val="0"/>
                <w:numId w:val="24"/>
              </w:numPr>
              <w:tabs>
                <w:tab w:val="clear" w:pos="720"/>
                <w:tab w:val="left" w:pos="277" w:leader="none"/>
              </w:tabs>
              <w:spacing w:lineRule="auto" w:line="240" w:before="0" w:after="0"/>
              <w:ind w:left="277" w:hanging="277"/>
              <w:contextualSpacing/>
              <w:jc w:val="both"/>
              <w:rPr>
                <w:rFonts w:eastAsia="Times New Roman" w:cs="Calibri" w:cstheme="minorHAnsi"/>
                <w:color w:val="000000"/>
                <w:lang w:eastAsia="pl-PL"/>
              </w:rPr>
            </w:pPr>
            <w:r>
              <w:rPr>
                <w:rFonts w:eastAsia="Times New Roman" w:cs="Calibri" w:cstheme="minorHAnsi"/>
                <w:color w:val="000000"/>
                <w:lang w:eastAsia="pl-PL"/>
              </w:rPr>
              <w:t>wydanie rozporządzenia na potrzeby ustanowienia obszaru ochronnego zbiornika wód śródlądowych (GZWP 425)</w:t>
            </w:r>
          </w:p>
          <w:p>
            <w:pPr>
              <w:pStyle w:val="Normal"/>
              <w:widowControl w:val="false"/>
              <w:spacing w:lineRule="auto" w:line="240" w:before="0" w:after="0"/>
              <w:jc w:val="both"/>
              <w:rPr>
                <w:rFonts w:eastAsia="Times New Roman" w:cs="Calibri" w:cstheme="minorHAnsi"/>
                <w:color w:val="000000"/>
                <w:lang w:eastAsia="pl-PL"/>
              </w:rPr>
            </w:pPr>
            <w:r>
              <w:rPr>
                <w:rFonts w:eastAsia="Times New Roman" w:cs="Calibri" w:cstheme="minorHAnsi"/>
                <w:color w:val="000000"/>
                <w:lang w:eastAsia="pl-PL"/>
              </w:rPr>
              <w:t>Działania uzupełniające:</w:t>
            </w:r>
          </w:p>
          <w:p>
            <w:pPr>
              <w:pStyle w:val="ListParagraph"/>
              <w:widowControl w:val="false"/>
              <w:numPr>
                <w:ilvl w:val="0"/>
                <w:numId w:val="28"/>
              </w:numPr>
              <w:spacing w:lineRule="auto" w:line="240" w:before="0" w:after="0"/>
              <w:ind w:left="277" w:hanging="277"/>
              <w:jc w:val="both"/>
              <w:rPr>
                <w:rFonts w:ascii="Calibri" w:hAnsi="Calibri" w:eastAsia="Times New Roman" w:cs="Calibri" w:asciiTheme="minorHAnsi" w:cstheme="minorHAnsi" w:hAnsiTheme="minorHAnsi"/>
                <w:color w:val="000000"/>
                <w:lang w:eastAsia="pl-PL"/>
              </w:rPr>
            </w:pPr>
            <w:r>
              <w:rPr>
                <w:rFonts w:eastAsia="Times New Roman" w:cs="Calibri" w:cstheme="minorHAnsi"/>
                <w:color w:val="000000"/>
                <w:lang w:eastAsia="pl-PL"/>
              </w:rPr>
              <w:t>prowadzenie monitoringu lokalnego wokół ujęć wód podziemnych o poborze przekraczającym 1000 m3/d*</w:t>
            </w:r>
          </w:p>
          <w:p>
            <w:pPr>
              <w:pStyle w:val="ListParagraph"/>
              <w:widowControl w:val="false"/>
              <w:numPr>
                <w:ilvl w:val="0"/>
                <w:numId w:val="28"/>
              </w:numPr>
              <w:spacing w:lineRule="auto" w:line="240" w:before="0" w:after="0"/>
              <w:ind w:left="277" w:hanging="277"/>
              <w:jc w:val="both"/>
              <w:rPr>
                <w:rFonts w:ascii="Calibri" w:hAnsi="Calibri" w:eastAsia="Times New Roman" w:cs="Calibri" w:asciiTheme="minorHAnsi" w:cstheme="minorHAnsi" w:hAnsiTheme="minorHAnsi"/>
                <w:color w:val="000000"/>
                <w:lang w:eastAsia="pl-PL"/>
              </w:rPr>
            </w:pPr>
            <w:r>
              <w:rPr>
                <w:rFonts w:eastAsia="Times New Roman" w:cs="Calibri" w:cstheme="minorHAnsi"/>
                <w:color w:val="000000"/>
                <w:lang w:eastAsia="pl-PL"/>
              </w:rPr>
              <w:t>przekazywanie raz w roku przez zarządzających obiektami prowadzącymi odwodnienia w skali regionalnej i lokalnej (kopalnie wgłębne i odkrywkowe) danych dotyczących wielkości odwodnienia i zasięgu leja depresji*</w:t>
            </w:r>
          </w:p>
          <w:p>
            <w:pPr>
              <w:pStyle w:val="ListParagraph"/>
              <w:widowControl w:val="false"/>
              <w:numPr>
                <w:ilvl w:val="0"/>
                <w:numId w:val="28"/>
              </w:numPr>
              <w:spacing w:lineRule="auto" w:line="240" w:before="0" w:after="0"/>
              <w:ind w:left="277" w:hanging="277"/>
              <w:jc w:val="both"/>
              <w:rPr>
                <w:rFonts w:ascii="Calibri" w:hAnsi="Calibri" w:eastAsia="Times New Roman" w:cs="Calibri" w:asciiTheme="minorHAnsi" w:cstheme="minorHAnsi" w:hAnsiTheme="minorHAnsi"/>
                <w:color w:val="000000"/>
                <w:lang w:eastAsia="pl-PL"/>
              </w:rPr>
            </w:pPr>
            <w:r>
              <w:rPr>
                <w:rFonts w:eastAsia="Times New Roman" w:cs="Calibri" w:cstheme="minorHAnsi"/>
                <w:color w:val="000000"/>
                <w:lang w:eastAsia="pl-PL"/>
              </w:rPr>
              <w:t>przekazywanie raz w roku przez zarządcę zakładu górniczego danych o stanie wyrobiska, w którym zaprzestano eksploatacji (prowadzone odwodnienia, stan rekultywacji, prowadzenie monitoringu)*</w:t>
            </w:r>
          </w:p>
        </w:tc>
      </w:tr>
      <w:tr>
        <w:trPr>
          <w:trHeight w:val="207" w:hRule="atLeast"/>
        </w:trPr>
        <w:tc>
          <w:tcPr>
            <w:tcW w:w="923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Źródło danych: baza danych aPGW</w:t>
            </w:r>
          </w:p>
        </w:tc>
        <w:tc>
          <w:tcPr>
            <w:tcW w:w="60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eastAsia="Times New Roman" w:cs="Calibri" w:cstheme="minorHAnsi"/>
                <w:color w:val="000000"/>
                <w:lang w:eastAsia="pl-PL"/>
              </w:rPr>
            </w:pPr>
            <w:bookmarkStart w:id="73" w:name="_Hlk118532685"/>
            <w:r>
              <w:rPr>
                <w:rFonts w:eastAsia="Times New Roman" w:cs="Calibri" w:cstheme="minorHAnsi"/>
                <w:color w:val="000000"/>
                <w:lang w:eastAsia="pl-PL"/>
              </w:rPr>
              <w:t>Źródło danych: baza danych aPWŚK</w:t>
            </w:r>
            <w:bookmarkEnd w:id="73"/>
          </w:p>
        </w:tc>
      </w:tr>
    </w:tbl>
    <w:p>
      <w:pPr>
        <w:pStyle w:val="Normal"/>
        <w:spacing w:lineRule="auto" w:line="240" w:before="0" w:after="0"/>
        <w:jc w:val="both"/>
        <w:rPr>
          <w:rFonts w:eastAsia="Times New Roman" w:cs="Calibri" w:cstheme="minorHAnsi"/>
          <w:color w:val="000000"/>
          <w:lang w:eastAsia="pl-PL"/>
        </w:rPr>
      </w:pPr>
      <w:r>
        <w:rPr>
          <w:rFonts w:eastAsia="Times New Roman" w:cs="Calibri" w:cstheme="minorHAnsi"/>
          <w:color w:val="000000"/>
          <w:lang w:eastAsia="pl-PL"/>
        </w:rPr>
      </w:r>
    </w:p>
    <w:p>
      <w:pPr>
        <w:pStyle w:val="Normal"/>
        <w:spacing w:lineRule="auto" w:line="240" w:before="0" w:after="0"/>
        <w:rPr>
          <w:rFonts w:eastAsia="Calibri" w:cs="Calibri" w:cstheme="minorHAnsi"/>
          <w:highlight w:val="yellow"/>
        </w:rPr>
      </w:pPr>
      <w:r>
        <w:rPr>
          <w:rFonts w:eastAsia="Calibri" w:cs="Calibri" w:cstheme="minorHAnsi"/>
          <w:highlight w:val="yellow"/>
        </w:rPr>
      </w:r>
    </w:p>
    <w:p>
      <w:pPr>
        <w:pStyle w:val="Normal"/>
        <w:tabs>
          <w:tab w:val="clear" w:pos="720"/>
          <w:tab w:val="left" w:pos="12000" w:leader="none"/>
        </w:tabs>
        <w:spacing w:lineRule="auto" w:line="240" w:before="0" w:after="0"/>
        <w:jc w:val="both"/>
        <w:rPr>
          <w:rFonts w:eastAsia="Calibri" w:cs="Calibri" w:cstheme="minorHAnsi"/>
        </w:rPr>
      </w:pPr>
      <w:bookmarkStart w:id="74" w:name="_Hlk118532868"/>
      <w:r>
        <w:rPr>
          <w:rFonts w:eastAsia="Calibri" w:cs="Calibri" w:cstheme="minorHAnsi"/>
        </w:rPr>
        <w:t xml:space="preserve">Wszystkie 6 jednolitych części wód powierzchniowych znajdujących się w granicach gminy Dwikozy oznacza się stanem ogólnym określonym jako zły. Działania wskazane w aktualizacji </w:t>
      </w:r>
      <w:r>
        <w:rPr>
          <w:rFonts w:eastAsia="Calibri" w:cs="Calibri" w:cstheme="minorHAnsi"/>
          <w:i/>
          <w:iCs/>
        </w:rPr>
        <w:t>Programu wodnośrodowiskowego kraju</w:t>
      </w:r>
      <w:r>
        <w:rPr>
          <w:rFonts w:eastAsia="Calibri" w:cs="Calibri" w:cstheme="minorHAnsi"/>
        </w:rPr>
        <w:t xml:space="preserve"> (aPWKŚ) dotyczą przede wszystkim budowy nowych zbiorników bezodpływowych oraz remontu istniejących, regularnego wywozu nieczystości płynnych oraz budowy sieci kanalizacji sanitarnej. Na podstawie informacji zawartych </w:t>
        <w:br/>
        <w:t xml:space="preserve">w kartach informacyjnych o JCWPd wiadomo, że w przypadku JCWPd nr 117, 118 i 135 zarówno stan ogólny jak i ilościowy oceniono jako dobry. </w:t>
        <w:br/>
        <w:t xml:space="preserve">W przypadku JWPd nr 135 istnieje zagrożenie nieosiągnięcia celów środowiskowych. </w:t>
      </w:r>
    </w:p>
    <w:p>
      <w:pPr>
        <w:pStyle w:val="Normal"/>
        <w:tabs>
          <w:tab w:val="clear" w:pos="720"/>
          <w:tab w:val="left" w:pos="12000" w:leader="none"/>
        </w:tabs>
        <w:spacing w:lineRule="auto" w:line="240" w:before="0" w:after="0"/>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bookmarkStart w:id="75" w:name="_Hlk118532868"/>
      <w:r>
        <w:rPr>
          <w:rFonts w:eastAsia="Calibri" w:cs="Calibri" w:cstheme="minorHAnsi"/>
        </w:rPr>
        <w:t>Analizowany obszar znajduje w zasięgu zasięgiem udokumentowanego obszaru ochrony Głównego Zbiornika Wód Podziemnych (GZWP) 422 Zbiornik Romanówka.</w:t>
      </w:r>
      <w:bookmarkEnd w:id="75"/>
    </w:p>
    <w:p>
      <w:pPr>
        <w:sectPr>
          <w:headerReference w:type="default" r:id="rId13"/>
          <w:headerReference w:type="first" r:id="rId14"/>
          <w:footerReference w:type="default" r:id="rId15"/>
          <w:footnotePr>
            <w:numFmt w:val="decimal"/>
          </w:footnotePr>
          <w:type w:val="nextPage"/>
          <w:pgSz w:orient="landscape" w:w="16838" w:h="11906"/>
          <w:pgMar w:left="1440" w:right="1440" w:gutter="0" w:header="709" w:top="1440" w:footer="709" w:bottom="1440"/>
          <w:pgNumType w:fmt="decimal"/>
          <w:formProt w:val="false"/>
          <w:titlePg/>
          <w:textDirection w:val="lrTb"/>
          <w:docGrid w:type="default" w:linePitch="360" w:charSpace="4096"/>
        </w:sectPr>
        <w:pStyle w:val="Normal"/>
        <w:tabs>
          <w:tab w:val="clear" w:pos="720"/>
          <w:tab w:val="left" w:pos="12000" w:leader="none"/>
        </w:tabs>
        <w:spacing w:lineRule="auto" w:line="240" w:before="0" w:after="0"/>
        <w:jc w:val="both"/>
        <w:rPr>
          <w:rFonts w:eastAsia="Calibri" w:cs="Calibri" w:cstheme="minorHAnsi"/>
        </w:rPr>
      </w:pPr>
      <w:r>
        <w:rPr>
          <w:rFonts w:eastAsia="Calibri" w:cs="Calibri" w:cstheme="minorHAnsi"/>
        </w:rPr>
        <w:tab/>
      </w:r>
    </w:p>
    <w:p>
      <w:pPr>
        <w:pStyle w:val="Normal"/>
        <w:spacing w:lineRule="auto" w:line="240" w:before="0" w:after="0"/>
        <w:jc w:val="both"/>
        <w:rPr>
          <w:rFonts w:eastAsia="Calibri" w:cs="Calibri" w:cstheme="minorHAnsi"/>
        </w:rPr>
      </w:pPr>
      <w:bookmarkStart w:id="76" w:name="_Hlk118538956"/>
      <w:r>
        <w:rPr>
          <w:rFonts w:eastAsia="Calibri" w:cs="Calibri" w:cstheme="minorHAnsi"/>
        </w:rPr>
        <w:t>Przedstawione na mapach zagrożenia suszą informacje wskazują, iż teren gminy Dwikozy to obszar charakteryzujący się:</w:t>
      </w:r>
    </w:p>
    <w:p>
      <w:pPr>
        <w:pStyle w:val="ListParagraph"/>
        <w:numPr>
          <w:ilvl w:val="0"/>
          <w:numId w:val="42"/>
        </w:numPr>
        <w:spacing w:lineRule="auto" w:line="240" w:before="0" w:after="0"/>
        <w:jc w:val="both"/>
        <w:rPr>
          <w:rFonts w:cs="Calibri" w:cstheme="minorHAnsi"/>
        </w:rPr>
      </w:pPr>
      <w:r>
        <w:rPr>
          <w:rFonts w:cs="Calibri" w:cstheme="minorHAnsi"/>
        </w:rPr>
        <w:t>silnym i ekstremalnym zagrożeniem wystąpienia suszy rolniczej,</w:t>
      </w:r>
    </w:p>
    <w:p>
      <w:pPr>
        <w:pStyle w:val="ListParagraph"/>
        <w:numPr>
          <w:ilvl w:val="0"/>
          <w:numId w:val="42"/>
        </w:numPr>
        <w:spacing w:lineRule="auto" w:line="240" w:before="0" w:after="0"/>
        <w:jc w:val="both"/>
        <w:rPr>
          <w:rFonts w:cs="Calibri" w:cstheme="minorHAnsi"/>
        </w:rPr>
      </w:pPr>
      <w:r>
        <w:rPr>
          <w:rFonts w:cs="Calibri" w:cstheme="minorHAnsi"/>
        </w:rPr>
        <w:t xml:space="preserve">umiarkowanym zagrożeniu wystąpienia suszy hydrologicznej oraz </w:t>
      </w:r>
    </w:p>
    <w:p>
      <w:pPr>
        <w:pStyle w:val="ListParagraph"/>
        <w:numPr>
          <w:ilvl w:val="0"/>
          <w:numId w:val="42"/>
        </w:numPr>
        <w:spacing w:lineRule="auto" w:line="240" w:before="0" w:after="0"/>
        <w:jc w:val="both"/>
        <w:rPr>
          <w:rFonts w:cs="Calibri" w:cstheme="minorHAnsi"/>
        </w:rPr>
      </w:pPr>
      <w:r>
        <w:rPr>
          <w:rFonts w:cs="Calibri" w:cstheme="minorHAnsi"/>
        </w:rPr>
        <w:t xml:space="preserve">słabym i umiarkowanym zagrożeniem wystąpienia suszy hydrogeologicznej. </w:t>
      </w:r>
    </w:p>
    <w:p>
      <w:pPr>
        <w:pStyle w:val="Normal"/>
        <w:spacing w:lineRule="auto" w:line="240" w:before="0" w:after="0"/>
        <w:jc w:val="both"/>
        <w:rPr>
          <w:rFonts w:cs="Calibri" w:cstheme="minorHAnsi"/>
        </w:rPr>
      </w:pPr>
      <w:r>
        <w:rPr>
          <w:rFonts w:cs="Calibri" w:cstheme="minorHAnsi"/>
        </w:rPr>
        <w:t xml:space="preserve">Według klas łączonego zagrożenia suszą na terenie gminy Dwikozy występują obszary </w:t>
        <w:br/>
        <w:t>o umiarkowanym i silnym zagrożeniu suszą.</w:t>
      </w:r>
    </w:p>
    <w:p>
      <w:pPr>
        <w:pStyle w:val="Normal"/>
        <w:spacing w:lineRule="auto" w:line="240" w:before="0" w:after="0"/>
        <w:rPr>
          <w:rFonts w:eastAsia="Calibri" w:cs="Calibri" w:cstheme="minorHAnsi"/>
          <w:highlight w:val="yellow"/>
        </w:rPr>
      </w:pPr>
      <w:r>
        <w:rPr>
          <w:rFonts w:eastAsia="Calibri" w:cs="Calibri" w:cstheme="minorHAnsi"/>
          <w:highlight w:val="yellow"/>
        </w:rPr>
      </w:r>
    </w:p>
    <w:p>
      <w:pPr>
        <w:pStyle w:val="Normal"/>
        <w:spacing w:lineRule="auto" w:line="240" w:before="0" w:after="0"/>
        <w:jc w:val="center"/>
        <w:rPr>
          <w:rFonts w:eastAsia="Calibri" w:cs="Calibri" w:cstheme="minorHAnsi"/>
          <w:sz w:val="20"/>
          <w:szCs w:val="20"/>
        </w:rPr>
      </w:pPr>
      <w:bookmarkStart w:id="77" w:name="_Toc118887434"/>
      <w:bookmarkStart w:id="78" w:name="_Toc104972000"/>
      <w:r>
        <w:rPr>
          <w:rFonts w:eastAsia="Calibri" w:cs="Calibri" w:cstheme="minorHAnsi"/>
          <w:sz w:val="20"/>
          <w:szCs w:val="20"/>
        </w:rPr>
        <w:t xml:space="preserve">Mapa </w:t>
      </w:r>
      <w:r>
        <w:rPr>
          <w:rFonts w:eastAsia="Calibri" w:cs="Calibri" w:cstheme="minorHAnsi"/>
          <w:sz w:val="20"/>
          <w:szCs w:val="20"/>
        </w:rPr>
        <w:fldChar w:fldCharType="begin"/>
      </w:r>
      <w:r>
        <w:rPr>
          <w:sz w:val="20"/>
          <w:szCs w:val="20"/>
          <w:rFonts w:eastAsia="Calibri" w:cs="Calibri"/>
        </w:rPr>
        <w:instrText xml:space="preserve"> SEQ Mapa \* ARABIC </w:instrText>
      </w:r>
      <w:r>
        <w:rPr>
          <w:sz w:val="20"/>
          <w:szCs w:val="20"/>
          <w:rFonts w:eastAsia="Calibri" w:cs="Calibri"/>
        </w:rPr>
        <w:fldChar w:fldCharType="separate"/>
      </w:r>
      <w:r>
        <w:rPr>
          <w:sz w:val="20"/>
          <w:szCs w:val="20"/>
          <w:rFonts w:eastAsia="Calibri" w:cs="Calibri"/>
        </w:rPr>
        <w:t>2</w:t>
      </w:r>
      <w:r>
        <w:rPr>
          <w:sz w:val="20"/>
          <w:szCs w:val="20"/>
          <w:rFonts w:eastAsia="Calibri" w:cs="Calibri"/>
        </w:rPr>
        <w:fldChar w:fldCharType="end"/>
      </w:r>
      <w:r>
        <w:rPr>
          <w:rFonts w:eastAsia="Calibri" w:cs="Calibri" w:cstheme="minorHAnsi"/>
          <w:sz w:val="20"/>
          <w:szCs w:val="20"/>
        </w:rPr>
        <w:t xml:space="preserve"> Mapa łącznego zagrożenia suszą suma klas zagrożenia suszą rolniczą, hydrologiczną i hydrogeologiczna – ocena w siatce pól podstawowych</w:t>
      </w:r>
      <w:bookmarkEnd w:id="77"/>
      <w:bookmarkEnd w:id="78"/>
    </w:p>
    <w:p>
      <w:pPr>
        <w:pStyle w:val="Normal"/>
        <w:spacing w:lineRule="auto" w:line="240" w:before="0" w:after="0"/>
        <w:ind w:left="-426" w:hanging="0"/>
        <w:jc w:val="center"/>
        <w:rPr>
          <w:rFonts w:eastAsia="Calibri" w:cs="Calibri" w:cstheme="minorHAnsi"/>
        </w:rPr>
      </w:pPr>
      <w:r>
        <w:rPr/>
        <w:drawing>
          <wp:inline distT="0" distB="0" distL="0" distR="0">
            <wp:extent cx="6076950" cy="6170295"/>
            <wp:effectExtent l="0" t="0" r="0" b="0"/>
            <wp:docPr id="8" name="Obraz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40" descr=""/>
                    <pic:cNvPicPr>
                      <a:picLocks noChangeAspect="1" noChangeArrowheads="1"/>
                    </pic:cNvPicPr>
                  </pic:nvPicPr>
                  <pic:blipFill>
                    <a:blip r:embed="rId16"/>
                    <a:srcRect l="915" t="0" r="0" b="5540"/>
                    <a:stretch>
                      <a:fillRect/>
                    </a:stretch>
                  </pic:blipFill>
                  <pic:spPr bwMode="auto">
                    <a:xfrm>
                      <a:off x="0" y="0"/>
                      <a:ext cx="6076950" cy="6170295"/>
                    </a:xfrm>
                    <a:prstGeom prst="rect">
                      <a:avLst/>
                    </a:prstGeom>
                  </pic:spPr>
                </pic:pic>
              </a:graphicData>
            </a:graphic>
          </wp:inline>
        </w:drawing>
      </w:r>
    </w:p>
    <w:p>
      <w:pPr>
        <w:pStyle w:val="Normal"/>
        <w:spacing w:lineRule="auto" w:line="240" w:before="0" w:after="0"/>
        <w:jc w:val="center"/>
        <w:rPr>
          <w:rFonts w:eastAsia="Calibri" w:cs="Calibri" w:cstheme="minorHAnsi"/>
          <w:sz w:val="20"/>
          <w:szCs w:val="20"/>
        </w:rPr>
      </w:pPr>
      <w:r>
        <w:rPr>
          <w:rFonts w:eastAsia="Calibri" w:cs="Calibri" w:cstheme="minorHAnsi"/>
          <w:sz w:val="20"/>
          <w:szCs w:val="20"/>
        </w:rPr>
        <w:t>Źródło: https://wody.isok.gov.pl/imap_kzgw/?gpmap=gpPPSS</w:t>
      </w:r>
    </w:p>
    <w:p>
      <w:pPr>
        <w:pStyle w:val="Normal"/>
        <w:spacing w:lineRule="auto" w:line="240" w:before="0" w:after="0"/>
        <w:jc w:val="both"/>
        <w:rPr>
          <w:rFonts w:eastAsia="Calibri" w:cs="Calibri" w:cstheme="minorHAnsi"/>
        </w:rPr>
      </w:pPr>
      <w:r>
        <w:rPr>
          <w:rFonts w:eastAsia="Calibri" w:cs="Calibri" w:cstheme="minorHAnsi"/>
        </w:rPr>
      </w:r>
    </w:p>
    <w:p>
      <w:pPr>
        <w:pStyle w:val="Normal"/>
        <w:spacing w:lineRule="auto" w:line="240" w:before="0" w:after="0"/>
        <w:jc w:val="both"/>
        <w:rPr>
          <w:rFonts w:eastAsia="Calibri" w:cs="Calibri" w:cstheme="minorHAnsi"/>
        </w:rPr>
      </w:pPr>
      <w:r>
        <mc:AlternateContent>
          <mc:Choice Requires="wps">
            <w:drawing>
              <wp:anchor behindDoc="0" distT="8890" distB="29210" distL="9525" distR="19050" simplePos="0" locked="0" layoutInCell="0" allowOverlap="1" relativeHeight="18" wp14:anchorId="6FCC2039">
                <wp:simplePos x="0" y="0"/>
                <wp:positionH relativeFrom="column">
                  <wp:posOffset>2438400</wp:posOffset>
                </wp:positionH>
                <wp:positionV relativeFrom="paragraph">
                  <wp:posOffset>8890</wp:posOffset>
                </wp:positionV>
                <wp:extent cx="219075" cy="152400"/>
                <wp:effectExtent l="7620" t="6985" r="19050" b="32385"/>
                <wp:wrapNone/>
                <wp:docPr id="9" name="Prostokąt: zaokrąglone rogi 12"/>
                <a:graphic xmlns:a="http://schemas.openxmlformats.org/drawingml/2006/main">
                  <a:graphicData uri="http://schemas.microsoft.com/office/word/2010/wordprocessingShape">
                    <wps:wsp>
                      <wps:cNvSpPr/>
                      <wps:spPr>
                        <a:xfrm>
                          <a:off x="0" y="0"/>
                          <a:ext cx="219240" cy="152280"/>
                        </a:xfrm>
                        <a:prstGeom prst="roundRect">
                          <a:avLst>
                            <a:gd name="adj" fmla="val 16667"/>
                          </a:avLst>
                        </a:prstGeom>
                        <a:solidFill>
                          <a:srgbClr val="92d050"/>
                        </a:solidFill>
                        <a:ln w="12700">
                          <a:solidFill>
                            <a:srgbClr val="c9c9c9"/>
                          </a:solidFill>
                          <a:round/>
                        </a:ln>
                        <a:effectLst>
                          <a:outerShdw algn="ctr" dir="3825519" dist="28496" rotWithShape="0">
                            <a:srgbClr val="525252">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57150" distL="0" distR="47625" simplePos="0" locked="0" layoutInCell="0" allowOverlap="1" relativeHeight="20" wp14:anchorId="142A0F2E">
                <wp:simplePos x="0" y="0"/>
                <wp:positionH relativeFrom="column">
                  <wp:posOffset>4143375</wp:posOffset>
                </wp:positionH>
                <wp:positionV relativeFrom="paragraph">
                  <wp:posOffset>8890</wp:posOffset>
                </wp:positionV>
                <wp:extent cx="219075" cy="152400"/>
                <wp:effectExtent l="7620" t="6985" r="19050" b="32385"/>
                <wp:wrapNone/>
                <wp:docPr id="10" name="Prostokąt: zaokrąglone rogi 24"/>
                <a:graphic xmlns:a="http://schemas.openxmlformats.org/drawingml/2006/main">
                  <a:graphicData uri="http://schemas.microsoft.com/office/word/2010/wordprocessingShape">
                    <wps:wsp>
                      <wps:cNvSpPr/>
                      <wps:spPr>
                        <a:xfrm>
                          <a:off x="0" y="0"/>
                          <a:ext cx="219240" cy="152280"/>
                        </a:xfrm>
                        <a:prstGeom prst="roundRect">
                          <a:avLst>
                            <a:gd name="adj" fmla="val 16667"/>
                          </a:avLst>
                        </a:prstGeom>
                        <a:solidFill>
                          <a:srgbClr val="ffff00"/>
                        </a:solidFill>
                        <a:ln w="12700">
                          <a:solidFill>
                            <a:srgbClr val="ffff00"/>
                          </a:solidFill>
                          <a:round/>
                        </a:ln>
                        <a:effectLst>
                          <a:outerShdw algn="ctr" dir="3825519" dist="28496" rotWithShape="0">
                            <a:srgbClr val="525252">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57150" distL="0" distR="47625" simplePos="0" locked="0" layoutInCell="0" allowOverlap="1" relativeHeight="21" wp14:anchorId="2C951ED2">
                <wp:simplePos x="0" y="0"/>
                <wp:positionH relativeFrom="column">
                  <wp:posOffset>1057275</wp:posOffset>
                </wp:positionH>
                <wp:positionV relativeFrom="paragraph">
                  <wp:posOffset>208915</wp:posOffset>
                </wp:positionV>
                <wp:extent cx="219075" cy="152400"/>
                <wp:effectExtent l="7620" t="6985" r="19050" b="32385"/>
                <wp:wrapNone/>
                <wp:docPr id="11" name="Prostokąt: zaokrąglone rogi 22"/>
                <a:graphic xmlns:a="http://schemas.openxmlformats.org/drawingml/2006/main">
                  <a:graphicData uri="http://schemas.microsoft.com/office/word/2010/wordprocessingShape">
                    <wps:wsp>
                      <wps:cNvSpPr/>
                      <wps:spPr>
                        <a:xfrm>
                          <a:off x="0" y="0"/>
                          <a:ext cx="219240" cy="152280"/>
                        </a:xfrm>
                        <a:prstGeom prst="roundRect">
                          <a:avLst>
                            <a:gd name="adj" fmla="val 16667"/>
                          </a:avLst>
                        </a:prstGeom>
                        <a:solidFill>
                          <a:srgbClr val="ffc000"/>
                        </a:solidFill>
                        <a:ln w="12700">
                          <a:solidFill>
                            <a:srgbClr val="ffc000"/>
                          </a:solidFill>
                          <a:round/>
                        </a:ln>
                        <a:effectLst>
                          <a:outerShdw algn="ctr" dir="3825519" dist="28496" rotWithShape="0">
                            <a:srgbClr val="525252">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57150" distL="0" distR="47625" simplePos="0" locked="0" layoutInCell="0" allowOverlap="1" relativeHeight="24" wp14:anchorId="585D73A3">
                <wp:simplePos x="0" y="0"/>
                <wp:positionH relativeFrom="column">
                  <wp:posOffset>2752725</wp:posOffset>
                </wp:positionH>
                <wp:positionV relativeFrom="paragraph">
                  <wp:posOffset>208915</wp:posOffset>
                </wp:positionV>
                <wp:extent cx="219075" cy="152400"/>
                <wp:effectExtent l="7620" t="6985" r="19050" b="32385"/>
                <wp:wrapNone/>
                <wp:docPr id="12" name="Prostokąt: zaokrąglone rogi 26"/>
                <a:graphic xmlns:a="http://schemas.openxmlformats.org/drawingml/2006/main">
                  <a:graphicData uri="http://schemas.microsoft.com/office/word/2010/wordprocessingShape">
                    <wps:wsp>
                      <wps:cNvSpPr/>
                      <wps:spPr>
                        <a:xfrm>
                          <a:off x="0" y="0"/>
                          <a:ext cx="219240" cy="152280"/>
                        </a:xfrm>
                        <a:prstGeom prst="roundRect">
                          <a:avLst>
                            <a:gd name="adj" fmla="val 16667"/>
                          </a:avLst>
                        </a:prstGeom>
                        <a:solidFill>
                          <a:srgbClr val="ff0000"/>
                        </a:solidFill>
                        <a:ln w="12700">
                          <a:solidFill>
                            <a:srgbClr val="ff0000"/>
                          </a:solidFill>
                          <a:round/>
                        </a:ln>
                        <a:effectLst>
                          <a:outerShdw algn="ctr" dir="3825519" dist="28496" rotWithShape="0">
                            <a:srgbClr val="525252">
                              <a:alpha val="50000"/>
                            </a:srgbClr>
                          </a:outerShdw>
                        </a:effectLst>
                      </wps:spPr>
                      <wps:style>
                        <a:lnRef idx="0"/>
                        <a:fillRef idx="0"/>
                        <a:effectRef idx="0"/>
                        <a:fontRef idx="minor"/>
                      </wps:style>
                      <wps:bodyPr/>
                    </wps:wsp>
                  </a:graphicData>
                </a:graphic>
              </wp:anchor>
            </w:drawing>
          </mc:Choice>
          <mc:Fallback>
            <w:pict/>
          </mc:Fallback>
        </mc:AlternateContent>
      </w:r>
      <w:r>
        <w:rPr>
          <w:rFonts w:eastAsia="Calibri" w:cs="Calibri" w:cstheme="minorHAnsi"/>
        </w:rPr>
        <w:t xml:space="preserve">Legenda: klasy łącznego zagrożenia suszą: </w:t>
        <w:tab/>
        <w:t>słabe zagrożenia suszą</w:t>
        <w:tab/>
        <w:t xml:space="preserve">           umiarkowane zagrożenia suszą</w:t>
        <w:tab/>
        <w:t>silne zagrożenia suszą</w:t>
        <w:tab/>
        <w:t xml:space="preserve">         ekstremalne zagrożenia suszą </w:t>
        <w:tab/>
      </w:r>
    </w:p>
    <w:p>
      <w:pPr>
        <w:pStyle w:val="Normal"/>
        <w:spacing w:lineRule="auto" w:line="240" w:before="0" w:after="0"/>
        <w:ind w:firstLine="720"/>
        <w:jc w:val="both"/>
        <w:rPr>
          <w:rFonts w:eastAsia="Calibri" w:cs="Calibri" w:cstheme="minorHAnsi"/>
        </w:rPr>
      </w:pPr>
      <w:r>
        <mc:AlternateContent>
          <mc:Choice Requires="wps">
            <w:drawing>
              <wp:anchor behindDoc="0" distT="19050" distB="12065" distL="19050" distR="19050" simplePos="0" locked="0" layoutInCell="0" allowOverlap="1" relativeHeight="25" wp14:anchorId="04FD24EB">
                <wp:simplePos x="0" y="0"/>
                <wp:positionH relativeFrom="column">
                  <wp:posOffset>18415</wp:posOffset>
                </wp:positionH>
                <wp:positionV relativeFrom="paragraph">
                  <wp:posOffset>49530</wp:posOffset>
                </wp:positionV>
                <wp:extent cx="438150" cy="45085"/>
                <wp:effectExtent l="16510" t="16510" r="16510" b="15875"/>
                <wp:wrapNone/>
                <wp:docPr id="13" name="Dowolny kształt: kształt 11"/>
                <a:graphic xmlns:a="http://schemas.openxmlformats.org/drawingml/2006/main">
                  <a:graphicData uri="http://schemas.microsoft.com/office/word/2010/wordprocessingShape">
                    <wps:wsp>
                      <wps:cNvSpPr/>
                      <wps:spPr>
                        <a:xfrm flipV="1">
                          <a:off x="0" y="0"/>
                          <a:ext cx="438120" cy="45000"/>
                        </a:xfrm>
                        <a:custGeom>
                          <a:avLst/>
                          <a:gdLst>
                            <a:gd name="textAreaLeft" fmla="*/ 0 w 248400"/>
                            <a:gd name="textAreaRight" fmla="*/ 248760 w 248400"/>
                            <a:gd name="textAreaTop" fmla="*/ -360 h 25560"/>
                            <a:gd name="textAreaBottom" fmla="*/ 25560 h 25560"/>
                          </a:gdLst>
                          <a:ahLst/>
                          <a:rect l="textAreaLeft" t="textAreaTop" r="textAreaRight" b="textAreaBottom"/>
                          <a:pathLst>
                            <a:path w="495" h="167">
                              <a:moveTo>
                                <a:pt x="0" y="45"/>
                              </a:moveTo>
                              <a:cubicBezTo>
                                <a:pt x="48" y="118"/>
                                <a:pt x="48" y="127"/>
                                <a:pt x="135" y="105"/>
                              </a:cubicBezTo>
                              <a:cubicBezTo>
                                <a:pt x="170" y="0"/>
                                <a:pt x="135" y="25"/>
                                <a:pt x="210" y="0"/>
                              </a:cubicBezTo>
                              <a:cubicBezTo>
                                <a:pt x="230" y="5"/>
                                <a:pt x="250" y="9"/>
                                <a:pt x="270" y="15"/>
                              </a:cubicBezTo>
                              <a:cubicBezTo>
                                <a:pt x="300" y="24"/>
                                <a:pt x="360" y="45"/>
                                <a:pt x="360" y="45"/>
                              </a:cubicBezTo>
                              <a:cubicBezTo>
                                <a:pt x="376" y="69"/>
                                <a:pt x="417" y="155"/>
                                <a:pt x="465" y="165"/>
                              </a:cubicBezTo>
                              <a:cubicBezTo>
                                <a:pt x="476" y="167"/>
                                <a:pt x="485" y="155"/>
                                <a:pt x="495" y="150"/>
                              </a:cubicBezTo>
                            </a:path>
                          </a:pathLst>
                        </a:custGeom>
                        <a:solidFill>
                          <a:srgbClr val="ffffff"/>
                        </a:solidFill>
                        <a:ln w="31750">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Calibri" w:cs="Calibri" w:cstheme="minorHAnsi"/>
        </w:rPr>
        <w:t xml:space="preserve">    </w:t>
      </w:r>
      <w:r>
        <w:rPr>
          <w:rFonts w:eastAsia="Calibri" w:cs="Calibri" w:cstheme="minorHAnsi"/>
        </w:rPr>
        <w:t>granice gminy</w:t>
      </w:r>
      <w:bookmarkEnd w:id="76"/>
    </w:p>
    <w:p>
      <w:pPr>
        <w:pStyle w:val="Normal"/>
        <w:spacing w:lineRule="auto" w:line="240" w:before="0" w:after="0"/>
        <w:jc w:val="both"/>
        <w:rPr>
          <w:rFonts w:eastAsia="Calibri" w:cs="Calibri" w:cstheme="minorHAnsi"/>
          <w:highlight w:val="yellow"/>
        </w:rPr>
      </w:pPr>
      <w:r>
        <w:rPr>
          <w:rFonts w:eastAsia="Calibri" w:cs="Calibri" w:cstheme="minorHAnsi"/>
          <w:highlight w:val="yellow"/>
        </w:rPr>
      </w:r>
    </w:p>
    <w:p>
      <w:pPr>
        <w:pStyle w:val="Normal"/>
        <w:spacing w:lineRule="auto" w:line="240" w:before="0" w:after="0"/>
        <w:jc w:val="both"/>
        <w:rPr>
          <w:rFonts w:cs="Calibri" w:cstheme="minorHAnsi"/>
          <w:b/>
          <w:b/>
          <w:bCs/>
        </w:rPr>
      </w:pPr>
      <w:r>
        <w:rPr>
          <w:rFonts w:cs="Calibri" w:cstheme="minorHAnsi"/>
          <w:b/>
          <w:bCs/>
        </w:rPr>
        <w:t>Gleby</w:t>
      </w:r>
    </w:p>
    <w:p>
      <w:pPr>
        <w:pStyle w:val="Normal"/>
        <w:spacing w:lineRule="auto" w:line="240" w:before="0" w:after="0"/>
        <w:jc w:val="both"/>
        <w:rPr>
          <w:rFonts w:cs="Calibri" w:cstheme="minorHAnsi"/>
        </w:rPr>
      </w:pPr>
      <w:bookmarkStart w:id="79" w:name="_Hlk118703920"/>
      <w:r>
        <w:rPr>
          <w:rFonts w:cs="Calibri" w:cstheme="minorHAnsi"/>
        </w:rPr>
        <w:t xml:space="preserve">Na terenie gminy Dwikozy występują dwie jednostki fizjograficzne: Dolina Wisły i Wyżyna Sandomierska. </w:t>
      </w:r>
      <w:bookmarkEnd w:id="79"/>
      <w:r>
        <w:rPr>
          <w:rFonts w:cs="Calibri" w:cstheme="minorHAnsi"/>
        </w:rPr>
        <w:t xml:space="preserve">W części dolinowej z materiałów aluwialnych wykształciły się mady w typie gleb brunatnych i czarnych ziem. Wody gruntowe zalegają tutaj płytko 2–5 m. Wykazują one </w:t>
        <w:br/>
        <w:t xml:space="preserve">w przeważającej części właściwe stosunki wodne, jednak okresowo może występować nadmierne uwilgocenie. </w:t>
      </w:r>
      <w:bookmarkStart w:id="80" w:name="_Hlk118703956"/>
      <w:r>
        <w:rPr>
          <w:rFonts w:cs="Calibri" w:cstheme="minorHAnsi"/>
        </w:rPr>
        <w:t>Gleby te zaliczane są do I, II i III klasy bonitacyjnej, lokalnie do IV</w:t>
      </w:r>
      <w:bookmarkEnd w:id="80"/>
      <w:r>
        <w:rPr>
          <w:rFonts w:cs="Calibri" w:cstheme="minorHAnsi"/>
        </w:rPr>
        <w:t>. Są to gleby należące do kompleksu pszennego bardzo dobrego i dobrego oraz lokalnie wadliwego.</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Część wyżynna pokryta jest utworami lessowymi. Pod wpływem suchego klimatu stepowego </w:t>
        <w:br/>
        <w:t xml:space="preserve">i związanej z nim roślinności z lessów powstały gleby typu czarnoziem zdegradowany. Na zboczach </w:t>
        <w:br/>
        <w:t>o większym nachyleniu na skutek procesów erozyjnych uległy one zniszczeniu. W takich miejscach występują gleby brunatne. Są to gleby zaliczane do klas bonitacyjnych I, II, IIIa i IIIb, bardzo żyzne, zaliczane w większości do kompleksu pszennego bardzo dobrego i dobrego. Ich wartość produkcyjna jest bardzo wysoka.</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bookmarkStart w:id="81" w:name="_Hlk118704008"/>
      <w:r>
        <w:rPr>
          <w:rFonts w:cs="Calibri" w:cstheme="minorHAnsi"/>
        </w:rPr>
        <w:t>Ponad 80% gruntów w gminie zaliczanych jest do klas bonitacyjnych I–III podlegających szczególnej ochronie przed przeznaczaniem ich na cele nierolnicze, a ok. 8% stanowią gleby IV klasy podlegające ochronie warunkowej.</w:t>
      </w:r>
      <w:bookmarkEnd w:id="81"/>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Kwasowość gleb w gminie przedstawia się następująco: </w:t>
      </w:r>
    </w:p>
    <w:p>
      <w:pPr>
        <w:pStyle w:val="ListParagraph"/>
        <w:numPr>
          <w:ilvl w:val="0"/>
          <w:numId w:val="47"/>
        </w:numPr>
        <w:spacing w:lineRule="auto" w:line="240" w:before="0" w:after="0"/>
        <w:jc w:val="both"/>
        <w:rPr>
          <w:rFonts w:cs="Calibri" w:cstheme="minorHAnsi"/>
        </w:rPr>
      </w:pPr>
      <w:r>
        <w:rPr>
          <w:rFonts w:cs="Calibri" w:cstheme="minorHAnsi"/>
        </w:rPr>
        <w:t xml:space="preserve">gleby bardzo kwaśne — 16% (woj. — 32%), </w:t>
      </w:r>
    </w:p>
    <w:p>
      <w:pPr>
        <w:pStyle w:val="ListParagraph"/>
        <w:numPr>
          <w:ilvl w:val="0"/>
          <w:numId w:val="47"/>
        </w:numPr>
        <w:spacing w:lineRule="auto" w:line="240" w:before="0" w:after="0"/>
        <w:jc w:val="both"/>
        <w:rPr>
          <w:rFonts w:cs="Calibri" w:cstheme="minorHAnsi"/>
        </w:rPr>
      </w:pPr>
      <w:r>
        <w:rPr>
          <w:rFonts w:cs="Calibri" w:cstheme="minorHAnsi"/>
        </w:rPr>
        <w:t xml:space="preserve">kwaśne — 18% (woj. — 23%), </w:t>
      </w:r>
    </w:p>
    <w:p>
      <w:pPr>
        <w:pStyle w:val="ListParagraph"/>
        <w:numPr>
          <w:ilvl w:val="0"/>
          <w:numId w:val="47"/>
        </w:numPr>
        <w:spacing w:lineRule="auto" w:line="240" w:before="0" w:after="0"/>
        <w:jc w:val="both"/>
        <w:rPr>
          <w:rFonts w:cs="Calibri" w:cstheme="minorHAnsi"/>
        </w:rPr>
      </w:pPr>
      <w:r>
        <w:rPr>
          <w:rFonts w:cs="Calibri" w:cstheme="minorHAnsi"/>
        </w:rPr>
        <w:t xml:space="preserve">lekko kwaśne — 20% (woj. — 20%), </w:t>
      </w:r>
    </w:p>
    <w:p>
      <w:pPr>
        <w:pStyle w:val="ListParagraph"/>
        <w:numPr>
          <w:ilvl w:val="0"/>
          <w:numId w:val="47"/>
        </w:numPr>
        <w:spacing w:lineRule="auto" w:line="240" w:before="0" w:after="0"/>
        <w:jc w:val="both"/>
        <w:rPr>
          <w:rFonts w:cs="Calibri" w:cstheme="minorHAnsi"/>
        </w:rPr>
      </w:pPr>
      <w:r>
        <w:rPr>
          <w:rFonts w:cs="Calibri" w:cstheme="minorHAnsi"/>
        </w:rPr>
        <w:t xml:space="preserve">obojętne — 22% (woj. — 18%) i </w:t>
      </w:r>
    </w:p>
    <w:p>
      <w:pPr>
        <w:pStyle w:val="ListParagraph"/>
        <w:numPr>
          <w:ilvl w:val="0"/>
          <w:numId w:val="47"/>
        </w:numPr>
        <w:spacing w:lineRule="auto" w:line="240" w:before="0" w:after="0"/>
        <w:jc w:val="both"/>
        <w:rPr>
          <w:rFonts w:cs="Calibri" w:cstheme="minorHAnsi"/>
        </w:rPr>
      </w:pPr>
      <w:r>
        <w:rPr>
          <w:rFonts w:cs="Calibri" w:cstheme="minorHAnsi"/>
        </w:rPr>
        <w:t xml:space="preserve">zasadowe — 24% (woj. — 7%). </w:t>
      </w:r>
    </w:p>
    <w:p>
      <w:pPr>
        <w:pStyle w:val="Normal"/>
        <w:spacing w:lineRule="auto" w:line="240" w:before="0" w:after="0"/>
        <w:jc w:val="both"/>
        <w:rPr>
          <w:rFonts w:cs="Calibri" w:cstheme="minorHAnsi"/>
        </w:rPr>
      </w:pPr>
      <w:r>
        <w:rPr>
          <w:rFonts w:cs="Calibri" w:cstheme="minorHAnsi"/>
        </w:rPr>
        <w:t xml:space="preserve">Wapnowania wymaga ok. 35% gruntów. </w:t>
      </w:r>
      <w:bookmarkStart w:id="82" w:name="_Hlk118704145"/>
      <w:r>
        <w:rPr>
          <w:rFonts w:cs="Calibri" w:cstheme="minorHAnsi"/>
        </w:rPr>
        <w:t>Cały areał użytków rolnych zalicza się do „czystych” ekologicznie (zanieczyszczenie gleb metalami ciężkimi i siarką siarczanową nie przekracza naturalnej zawartości tych pierwiastków w skale macierzystej i predysponuje gminę do rozwoju produkcji ekologicznej).</w:t>
      </w:r>
      <w:bookmarkEnd w:id="82"/>
    </w:p>
    <w:p>
      <w:pPr>
        <w:pStyle w:val="NoSpacing"/>
        <w:jc w:val="both"/>
        <w:rPr>
          <w:rFonts w:ascii="Calibri" w:hAnsi="Calibri" w:cs="Calibri" w:asciiTheme="minorHAnsi" w:cstheme="minorHAnsi" w:hAnsiTheme="minorHAnsi"/>
          <w:b/>
          <w:b/>
          <w:bCs/>
          <w:color w:val="000000" w:themeColor="text1"/>
          <w:highlight w:val="yellow"/>
        </w:rPr>
      </w:pPr>
      <w:r>
        <w:rPr>
          <w:rFonts w:cs="Calibri" w:cstheme="minorHAnsi"/>
          <w:b/>
          <w:bCs/>
          <w:color w:val="000000" w:themeColor="text1"/>
          <w:highlight w:val="yellow"/>
        </w:rPr>
      </w:r>
    </w:p>
    <w:p>
      <w:pPr>
        <w:pStyle w:val="NoSpacing"/>
        <w:jc w:val="both"/>
        <w:rPr>
          <w:rFonts w:ascii="Calibri" w:hAnsi="Calibri" w:cs="Calibri" w:asciiTheme="minorHAnsi" w:cstheme="minorHAnsi" w:hAnsiTheme="minorHAnsi"/>
          <w:b/>
          <w:b/>
          <w:bCs/>
        </w:rPr>
      </w:pPr>
      <w:r>
        <w:rPr>
          <w:rFonts w:cs="Calibri" w:cstheme="minorHAnsi"/>
          <w:b/>
          <w:bCs/>
          <w:color w:val="000000" w:themeColor="text1"/>
        </w:rPr>
        <w:t>Zdiagnozowane potrzeby Gminy Dwikozy w zakresie przedsięwzięć</w:t>
      </w:r>
      <w:r>
        <w:rPr>
          <w:rFonts w:eastAsia="Times New Roman" w:cs="Calibri" w:cstheme="minorHAnsi"/>
          <w:b/>
          <w:bCs/>
          <w:color w:val="000000" w:themeColor="text1"/>
          <w:lang w:eastAsia="pl-PL"/>
        </w:rPr>
        <w:t xml:space="preserve"> służących ochronie </w:t>
        <w:br/>
      </w:r>
      <w:r>
        <w:rPr>
          <w:rFonts w:cs="Calibri" w:cstheme="minorHAnsi"/>
          <w:b/>
          <w:bCs/>
        </w:rPr>
        <w:t>i racjonalnemu gospodarowaniu wodą oraz przeciwdziałanie skutkom zagrożeń naturalnych</w:t>
      </w:r>
    </w:p>
    <w:p>
      <w:pPr>
        <w:pStyle w:val="Normal"/>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1. Rozwój błękitno-zielonej infrastruktury</w:t>
      </w:r>
      <w:r>
        <w:rPr>
          <w:rFonts w:eastAsia="Calibri" w:cs="Times New Roman"/>
        </w:rPr>
        <w:t xml:space="preserve"> (m.in. zakładanie ogrodów deszczowych w przestrzeni publicznej i prywatnych gospodarstwach domowych, </w:t>
      </w:r>
      <w:r>
        <w:rPr>
          <w:rFonts w:eastAsia="Calibri" w:cs="Calibri"/>
          <w:shd w:fill="FFFFFF" w:val="clear"/>
        </w:rPr>
        <w:t>w tym wykonanie łąk kwietnych wspomagających bioretencję, itp.) m.in.:</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Times New Roman" w:cs="Times New Roman"/>
          <w:color w:val="000000"/>
          <w:lang w:eastAsia="ar-SA"/>
        </w:rPr>
        <w:t>budowa zbiorników przeznaczonych do gromadzenia wód opadowych,</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Times New Roman" w:cs="Times New Roman"/>
          <w:color w:val="000000"/>
          <w:lang w:eastAsia="ar-SA"/>
        </w:rPr>
        <w:t xml:space="preserve">odmulenie cieków odprowadzający wodę, remonty przepustów, czyszczenie skarp, grobli </w:t>
        <w:br/>
        <w:t>i dna z roślinności i namułu w stawach na terenie gminy,</w:t>
      </w:r>
    </w:p>
    <w:p>
      <w:pPr>
        <w:pStyle w:val="Normal"/>
        <w:numPr>
          <w:ilvl w:val="0"/>
          <w:numId w:val="69"/>
        </w:numPr>
        <w:spacing w:lineRule="auto" w:line="240" w:before="0" w:after="0"/>
        <w:contextualSpacing/>
        <w:rPr>
          <w:rFonts w:ascii="Calibri" w:hAnsi="Calibri" w:eastAsia="Calibri" w:cs="Times New Roman"/>
          <w:b/>
          <w:b/>
          <w:bCs/>
        </w:rPr>
      </w:pPr>
      <w:r>
        <w:rPr>
          <w:rFonts w:eastAsia="Times New Roman" w:cs="Calibri"/>
          <w:color w:val="000000"/>
          <w:lang w:eastAsia="pl-PL"/>
        </w:rPr>
        <w:t>budowa i/lub modernizacja kanalizacji deszczowej,</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Times New Roman" w:cs="Times New Roman"/>
          <w:color w:val="000000"/>
          <w:lang w:eastAsia="ar-SA"/>
        </w:rPr>
        <w:t xml:space="preserve">zagospodarowanie wód deszczowych w ramach nieruchomości, </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Times New Roman" w:cs="Times New Roman"/>
          <w:color w:val="000000"/>
          <w:lang w:eastAsia="ar-SA"/>
        </w:rPr>
        <w:t>zakup zbiorników na wodę deszczową,</w:t>
      </w:r>
      <w:r>
        <w:rPr>
          <w:rFonts w:eastAsia="Calibri" w:cs="Times New Roman"/>
        </w:rPr>
        <w:t xml:space="preserve"> </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Calibri" w:cs="Times New Roman"/>
        </w:rPr>
        <w:t>zadrzewienia,</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Calibri" w:cs="Times New Roman"/>
        </w:rPr>
        <w:t>ogrody (różnego rodzaju: kieszonkowe, deszczowe, na dachach, sensoryczne),</w:t>
      </w:r>
    </w:p>
    <w:p>
      <w:pPr>
        <w:pStyle w:val="Normal"/>
        <w:numPr>
          <w:ilvl w:val="0"/>
          <w:numId w:val="69"/>
        </w:numPr>
        <w:suppressAutoHyphens w:val="true"/>
        <w:snapToGrid w:val="false"/>
        <w:spacing w:lineRule="auto" w:line="240" w:before="0" w:after="0"/>
        <w:jc w:val="both"/>
        <w:rPr>
          <w:rFonts w:ascii="Calibri" w:hAnsi="Calibri" w:eastAsia="Times New Roman" w:cs="Times New Roman"/>
          <w:color w:val="000000"/>
          <w:lang w:eastAsia="ar-SA"/>
        </w:rPr>
      </w:pPr>
      <w:r>
        <w:rPr>
          <w:rFonts w:eastAsia="Calibri" w:cs="Times New Roman"/>
        </w:rPr>
        <w:t xml:space="preserve">zagospodarowanie zieleni np. na dachach i pionowych powierzchni budynków a także filarach, wiaduktach, nieużywanych krańcach betonowych zabezpieczeń nadbrzeży, wiat przystankowych </w:t>
        <w:br/>
        <w:t>i śmietnikowych.</w:t>
      </w:r>
    </w:p>
    <w:p>
      <w:pPr>
        <w:pStyle w:val="Normal"/>
        <w:spacing w:lineRule="auto" w:line="240" w:before="0" w:after="0"/>
        <w:contextualSpacing/>
        <w:jc w:val="both"/>
        <w:rPr>
          <w:rFonts w:ascii="Calibri" w:hAnsi="Calibri" w:eastAsia="Calibri" w:cs="Calibri"/>
        </w:rPr>
      </w:pPr>
      <w:bookmarkStart w:id="83" w:name="_Hlk116637442"/>
      <w:r>
        <w:rPr>
          <w:rFonts w:eastAsia="Times New Roman" w:cs="Times New Roman"/>
          <w:color w:val="000000"/>
          <w:lang w:eastAsia="ar-SA"/>
        </w:rPr>
        <w:t xml:space="preserve">2. </w:t>
      </w:r>
      <w:r>
        <w:rPr>
          <w:rFonts w:eastAsia="Calibri" w:cs="Calibri"/>
        </w:rPr>
        <w:t xml:space="preserve">Ochrona wód przed zanieczyszczeniami pochodzącymi ze źródeł rolniczych poprzez wdrożenie </w:t>
        <w:br/>
        <w:t xml:space="preserve">i przestrzeganie zasad Dobrej Praktyki Rolniczej np. w zakresie braku nawożenia, składowania nawozów </w:t>
        <w:br/>
        <w:t>i kiszonek w pobliżu cieków.</w:t>
      </w:r>
      <w:bookmarkEnd w:id="83"/>
    </w:p>
    <w:p>
      <w:pPr>
        <w:pStyle w:val="Normal"/>
        <w:spacing w:lineRule="auto" w:line="240" w:before="0" w:after="0"/>
        <w:contextualSpacing/>
        <w:jc w:val="both"/>
        <w:rPr>
          <w:rFonts w:ascii="Calibri" w:hAnsi="Calibri" w:eastAsia="Calibri" w:cs="Calibri"/>
          <w:shd w:fill="FFFFFF" w:val="clear"/>
        </w:rPr>
      </w:pPr>
      <w:r>
        <w:rPr>
          <w:rFonts w:eastAsia="Times New Roman" w:cs="Times New Roman"/>
          <w:color w:val="000000"/>
          <w:lang w:eastAsia="ar-SA"/>
        </w:rPr>
        <w:t>3. Z</w:t>
      </w:r>
      <w:r>
        <w:rPr>
          <w:rFonts w:eastAsia="Times New Roman" w:cs="Calibri"/>
          <w:color w:val="000000"/>
          <w:lang w:eastAsia="pl-PL"/>
        </w:rPr>
        <w:t>większenie retencji wodnej na terenach rolniczych, leśnych i zurbanizowanych poprzez:</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prawidłowe użytkowanie rolnicze gleb, </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prowadzenie prac przeciwerozyjnych, </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zalesienie,</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tworzenie stref buforowych wzdłuż cieków, </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ochronę i odtwarzanie oczek wodnych i mokradeł, </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retencjonowanie wody w już istniejących zbiornikach i rowach oraz</w:t>
      </w:r>
    </w:p>
    <w:p>
      <w:pPr>
        <w:pStyle w:val="Normal"/>
        <w:numPr>
          <w:ilvl w:val="0"/>
          <w:numId w:val="68"/>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zachęcanie do wykonywania nowych zbiorników wodnych. </w:t>
      </w:r>
    </w:p>
    <w:p>
      <w:pPr>
        <w:pStyle w:val="Normal"/>
        <w:spacing w:lineRule="auto" w:line="240" w:before="0" w:after="0"/>
        <w:contextualSpacing/>
        <w:jc w:val="both"/>
        <w:rPr>
          <w:rFonts w:ascii="Calibri" w:hAnsi="Calibri" w:eastAsia="Calibri" w:cs="Times New Roman"/>
        </w:rPr>
      </w:pPr>
      <w:r>
        <w:rPr>
          <w:rFonts w:eastAsia="Calibri" w:cs="Times New Roman"/>
        </w:rPr>
        <w:t xml:space="preserve">4. Ochrona gleb np. usuwanie odpadów pochodzących z działalności rolniczej tj. folii rolniczych, siatki </w:t>
        <w:br/>
        <w:t>i sznura do owijania balotów, opakowań po nawozach i typu Big Bag.</w:t>
      </w:r>
    </w:p>
    <w:p>
      <w:pPr>
        <w:pStyle w:val="Normal"/>
        <w:spacing w:lineRule="auto" w:line="240" w:before="0" w:after="0"/>
        <w:jc w:val="both"/>
        <w:rPr>
          <w:rFonts w:ascii="Calibri" w:hAnsi="Calibri" w:eastAsia="Calibri" w:cs="Times New Roman"/>
        </w:rPr>
      </w:pPr>
      <w:r>
        <w:rPr>
          <w:rFonts w:eastAsia="Calibri" w:cs="Times New Roman"/>
        </w:rPr>
        <w:t>5. Zakup zestawu hydroforowego do Hydroforni w Gałkowicach.</w:t>
      </w:r>
    </w:p>
    <w:p>
      <w:pPr>
        <w:pStyle w:val="Normal"/>
        <w:spacing w:lineRule="auto" w:line="240" w:before="0" w:after="0"/>
        <w:jc w:val="both"/>
        <w:rPr>
          <w:rFonts w:ascii="Calibri" w:hAnsi="Calibri" w:eastAsia="Calibri" w:cs="Times New Roman"/>
        </w:rPr>
      </w:pPr>
      <w:r>
        <w:rPr>
          <w:rFonts w:eastAsia="Calibri" w:cs="Times New Roman"/>
        </w:rPr>
        <w:t>6. Odwiercenie studni głębinowej na działce ZGK Sp. z o.o. w Winiarach wraz z jej uzbrojeniem (m.in. rury pompowe oraz pompa głębinowa wraz z układem sterowania) oraz wykonaniem prac projektowych.</w:t>
      </w:r>
    </w:p>
    <w:p>
      <w:pPr>
        <w:pStyle w:val="Normal"/>
        <w:spacing w:lineRule="auto" w:line="240" w:before="0" w:after="0"/>
        <w:jc w:val="both"/>
        <w:rPr>
          <w:rFonts w:cs="Calibri" w:cstheme="minorHAnsi"/>
        </w:rPr>
      </w:pPr>
      <w:r>
        <w:rPr>
          <w:rFonts w:eastAsia="Calibri" w:cs="Times New Roman"/>
        </w:rPr>
        <w:t xml:space="preserve">7. Doprowadzenie zasilania oraz połączenie ze zbiornikiem wody pitnej studni głębinowej </w:t>
        <w:br/>
        <w:t>w Winiarach.</w:t>
      </w:r>
    </w:p>
    <w:p>
      <w:pPr>
        <w:pStyle w:val="Normal"/>
        <w:spacing w:lineRule="auto" w:line="240" w:before="0" w:after="0"/>
        <w:rPr>
          <w:rFonts w:eastAsia="Times New Roman" w:cs="Calibri" w:cstheme="minorHAnsi"/>
          <w:b/>
          <w:b/>
          <w:bCs/>
          <w:sz w:val="32"/>
          <w:szCs w:val="32"/>
        </w:rPr>
      </w:pPr>
      <w:r>
        <w:rPr>
          <w:rFonts w:eastAsia="Times New Roman" w:cs="Calibri" w:cstheme="minorHAnsi"/>
          <w:b/>
          <w:bCs/>
          <w:sz w:val="32"/>
          <w:szCs w:val="32"/>
        </w:rPr>
      </w:r>
      <w:r>
        <w:br w:type="page"/>
      </w:r>
    </w:p>
    <w:p>
      <w:pPr>
        <w:pStyle w:val="Nagwek2"/>
        <w:tabs>
          <w:tab w:val="clear" w:pos="720"/>
          <w:tab w:val="left" w:pos="142" w:leader="none"/>
        </w:tabs>
        <w:spacing w:lineRule="auto" w:line="240" w:before="120" w:after="120"/>
        <w:jc w:val="both"/>
        <w:rPr>
          <w:rFonts w:ascii="Calibri" w:hAnsi="Calibri" w:cs="Calibri" w:asciiTheme="minorHAnsi" w:cstheme="minorHAnsi" w:hAnsiTheme="minorHAnsi"/>
          <w:i w:val="false"/>
          <w:i w:val="false"/>
          <w:iCs w:val="false"/>
        </w:rPr>
      </w:pPr>
      <w:bookmarkStart w:id="84" w:name="_Toc118887454"/>
      <w:r>
        <w:rPr>
          <w:rFonts w:cs="Calibri" w:ascii="Calibri" w:hAnsi="Calibri" w:asciiTheme="minorHAnsi" w:cstheme="minorHAnsi" w:hAnsiTheme="minorHAnsi"/>
          <w:i w:val="false"/>
          <w:iCs w:val="false"/>
        </w:rPr>
        <w:t>1.6 Atrakcyjność turystyczna – walory, oferta i infrastruktura turystyczna</w:t>
      </w:r>
      <w:bookmarkEnd w:id="84"/>
    </w:p>
    <w:p>
      <w:pPr>
        <w:pStyle w:val="Normal"/>
        <w:spacing w:lineRule="auto" w:line="240" w:before="120" w:after="120"/>
        <w:jc w:val="both"/>
        <w:rPr>
          <w:rFonts w:cs="Calibri" w:cstheme="minorHAnsi"/>
        </w:rPr>
      </w:pPr>
      <w:bookmarkStart w:id="85" w:name="_Hlk118884605"/>
      <w:r>
        <w:rPr>
          <w:rFonts w:cs="Calibri" w:cstheme="minorHAnsi"/>
        </w:rPr>
        <w:t xml:space="preserve">O potencjale turystycznym gminy stanowią unikalne warunki przyrodniczo-krajobrazowe dolin Opatówki i  Wisły oraz krawędzi Wyżyny Sandomierskiej (liczne wąwozy, odsłonięcia i skarpy lessowe, rzadkie zbiorowiska roślin zielnych, drzew i krzewów porastających strome zbocza doliny). </w:t>
      </w:r>
      <w:bookmarkEnd w:id="85"/>
      <w:r>
        <w:rPr>
          <w:rFonts w:cs="Calibri" w:cstheme="minorHAnsi"/>
        </w:rPr>
        <w:br/>
        <w:t>Specyficzny krajobraz przyrodniczy rzeki Wisły, stanowiącej krajowy korytarz ekologiczny został objęty prawną ochroną przyrody – rezerwat „Wisła pod Zawichostem”.</w:t>
      </w:r>
    </w:p>
    <w:p>
      <w:pPr>
        <w:pStyle w:val="Normal"/>
        <w:spacing w:lineRule="auto" w:line="240" w:before="0" w:after="0"/>
        <w:jc w:val="both"/>
        <w:rPr>
          <w:rFonts w:cs="Calibri" w:cstheme="minorHAnsi"/>
        </w:rPr>
      </w:pPr>
      <w:r>
        <w:rPr>
          <w:rFonts w:cs="Calibri" w:cstheme="minorHAnsi"/>
        </w:rPr>
        <w:t xml:space="preserve">Gmina Dwikozy posiada duży, naturalny potencjał do pełnienia funkcji turystycznych, który jest </w:t>
        <w:br/>
        <w:t xml:space="preserve">w coraz większym stopniu wykorzystywany. W ostatnich latach w turystyce krajowej narasta moda na aktywne i zróżnicowane formy wypoczynku, charakteryzujące się bliższym kontaktem z przyrodą </w:t>
        <w:br/>
        <w:t xml:space="preserve">i kulturą. Turyści coraz częściej szukają urokliwych, nieodkrytych jeszcze zakątków z dala od zatłoczonych centrów dużych ośrodków turystycznych i aglomeracji miejskich. Gmina Dwikozy korzysta z tego trendu i coraz bardziej aktywizuje swoje turystyczne funkcje. Sprzyja temu położenie gminy w pobliżu Sandomierza, który jest znaczącym ośrodkiem obsługi ruchu turystycznego nie tylko wojewódzkiego, ale też krajowego i zagranicznego. Obecnie gmina Dwikozy stanowi zarówno uzupełnienie oferty turystycznej Sandomierza, jak również jest samodzielną atrakcją turystyczną </w:t>
        <w:br/>
        <w:t xml:space="preserve">z zabytkami, szlakami turystycznymi, unikatowymi walorami przyrody oraz rozbudowaną bazą noclegową. </w:t>
      </w:r>
    </w:p>
    <w:p>
      <w:pPr>
        <w:pStyle w:val="Normal"/>
        <w:spacing w:lineRule="auto" w:line="240" w:before="0" w:after="0"/>
        <w:jc w:val="both"/>
        <w:rPr>
          <w:rFonts w:cs="Calibri" w:cstheme="minorHAnsi"/>
        </w:rPr>
      </w:pPr>
      <w:r>
        <w:rPr>
          <w:rFonts w:cs="Calibri" w:cstheme="minorHAnsi"/>
        </w:rPr>
        <w:t xml:space="preserve">Zachodnia (wyżynna) część gminy „obfituje” w wąwozy lessowe. Stanowią one interesujące urozmaicenie krajobrazu, będąc dodatkową atrakcją turystyczną miejsc i miejscowości położonych </w:t>
        <w:br/>
        <w:t xml:space="preserve">w pasie wyżyn. W rejonie Wyżyny Sandomierskiej wąwozy występują przede wszystkim w pobliżu dolin rzek (Opatówka, Koprzywianka, Gorzyczanka) oraz strefie krawędziowej wyżyny na granicy </w:t>
        <w:br/>
        <w:t>z doliną Wisły - to idealne miejsca do aktywnej turystyki pieszej i rowerowej.</w:t>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Gmina Dwikozy charakteryzuje się również bogatymi tradycjami kulturowymi. Z tego terenu pochodzi </w:t>
      </w:r>
      <w:r>
        <w:rPr>
          <w:rFonts w:cs="Calibri" w:cstheme="minorHAnsi"/>
          <w:b/>
          <w:bCs/>
        </w:rPr>
        <w:t>Zawisza Czarny herbu Sulima z Garbowa</w:t>
      </w:r>
      <w:r>
        <w:rPr>
          <w:rFonts w:cs="Calibri" w:cstheme="minorHAnsi"/>
        </w:rPr>
        <w:t xml:space="preserve"> -  sławny polski rycerz, starosta spiski, w młodości w służbie u Zygmunta Luksemburczyka. Po powrocie do kraju w 1410 r. odznaczył się w bitwie pod Grunwaldem. Wielokrotny poseł króla Jagiełły. Uczestnik wielu wojen, niepokonany w turniejach rycerskich. Symbol prawości i cnót rycerskich, cieszył się wielką sławą w wielu krajach Europy.</w:t>
      </w:r>
    </w:p>
    <w:p>
      <w:pPr>
        <w:pStyle w:val="Caption"/>
        <w:spacing w:lineRule="auto" w:line="240" w:before="0" w:after="0"/>
        <w:jc w:val="center"/>
        <w:rPr>
          <w:rFonts w:ascii="Calibri" w:hAnsi="Calibri" w:cs="Calibri" w:asciiTheme="minorHAnsi" w:cstheme="minorHAnsi" w:hAnsiTheme="minorHAnsi"/>
          <w:b w:val="false"/>
          <w:b w:val="false"/>
          <w:bCs w:val="false"/>
        </w:rPr>
      </w:pPr>
      <w:r>
        <w:rPr>
          <w:rFonts w:cs="Calibri" w:cstheme="minorHAnsi"/>
          <w:b w:val="false"/>
          <w:bCs w:val="false"/>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86" w:name="_Toc118887440"/>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5</w:t>
      </w:r>
      <w:r>
        <w:rPr>
          <w:b w:val="false"/>
          <w:bCs w:val="false"/>
          <w:rFonts w:cs="Calibri"/>
        </w:rPr>
        <w:fldChar w:fldCharType="end"/>
      </w:r>
      <w:r>
        <w:rPr>
          <w:rFonts w:cs="Calibri" w:cstheme="minorHAnsi"/>
          <w:b w:val="false"/>
          <w:bCs w:val="false"/>
        </w:rPr>
        <w:t xml:space="preserve"> Pomnik Zawiszy Czarnego</w:t>
      </w:r>
      <w:bookmarkEnd w:id="86"/>
    </w:p>
    <w:p>
      <w:pPr>
        <w:pStyle w:val="Normal"/>
        <w:spacing w:lineRule="auto" w:line="240" w:before="0" w:after="0"/>
        <w:jc w:val="center"/>
        <w:rPr>
          <w:rFonts w:cs="Calibri" w:cstheme="minorHAnsi"/>
        </w:rPr>
      </w:pPr>
      <w:r>
        <w:rPr/>
        <w:drawing>
          <wp:inline distT="0" distB="0" distL="0" distR="0">
            <wp:extent cx="5550535" cy="3133725"/>
            <wp:effectExtent l="0" t="0" r="0" b="0"/>
            <wp:docPr id="14"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descr=""/>
                    <pic:cNvPicPr>
                      <a:picLocks noChangeAspect="1" noChangeArrowheads="1"/>
                    </pic:cNvPicPr>
                  </pic:nvPicPr>
                  <pic:blipFill>
                    <a:blip r:embed="rId17"/>
                    <a:stretch>
                      <a:fillRect/>
                    </a:stretch>
                  </pic:blipFill>
                  <pic:spPr bwMode="auto">
                    <a:xfrm>
                      <a:off x="0" y="0"/>
                      <a:ext cx="5550535" cy="3133725"/>
                    </a:xfrm>
                    <a:prstGeom prst="rect">
                      <a:avLst/>
                    </a:prstGeom>
                  </pic:spPr>
                </pic:pic>
              </a:graphicData>
            </a:graphic>
          </wp:inline>
        </w:drawing>
      </w:r>
    </w:p>
    <w:p>
      <w:pPr>
        <w:pStyle w:val="Normal"/>
        <w:spacing w:lineRule="auto" w:line="240" w:before="0" w:after="0"/>
        <w:jc w:val="center"/>
        <w:rPr>
          <w:rFonts w:cs="Calibri" w:cstheme="minorHAnsi"/>
          <w:sz w:val="20"/>
          <w:szCs w:val="20"/>
        </w:rPr>
      </w:pPr>
      <w:r>
        <w:rPr>
          <w:rFonts w:cs="Calibri" w:cstheme="minorHAnsi"/>
          <w:sz w:val="20"/>
          <w:szCs w:val="20"/>
        </w:rPr>
        <w:t>Źródło: https://www.pap.pl/</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W miejscowości skąd pochodził (obecnie Stary Garbów) w 2010r. wzniesiono jego pomnik. Powstała także Izba Pamięci Zawiszy Czarnego, będąca lokalną atrakcją turystyczną dla zwiedzających. Corocznie w lipcu organizowany jest Turniej Łuczniczy w Garbowie. W tym czasie Garbów zamienia się w prawdziwą wioskę rycerską, po której poruszają się wojska króla Władysława Jagiełły, z Zawiszą Czarnym na czele. Stowarzyszenie organizuje warsztaty edukacyjne dla dzieci, które z radością przenoszą się w świat średniowiecznego rycerstwa.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Do najważniejszych zabytków gminy Dwikozy, chętnie odwiedzanych przez turystów należy również </w:t>
      </w:r>
      <w:r>
        <w:rPr>
          <w:rFonts w:cs="Calibri" w:cstheme="minorHAnsi"/>
          <w:b/>
          <w:bCs/>
        </w:rPr>
        <w:t>Kościół parafialny pod wezwaniem Matki Boskiej Bolesnej i św. Wita męczennika w Górach Wysokich</w:t>
      </w:r>
      <w:r>
        <w:rPr>
          <w:rFonts w:cs="Calibri" w:cstheme="minorHAnsi"/>
        </w:rPr>
        <w:t xml:space="preserve">. W miejscu dawnego kościółka drewnianego, z XIII w. powstał w 1778 r., kościół murowany jednonawowy z kaplicami po bokach i prostokątnym prezbiterium. W 1792 r. kościół ten został rozbudowany i całkowicie przekształcony wg projektu arch. ks. Józefa Karśnickiego. Restaurowany z drobnymi przeróbkami ok. 1856–60, 1897–99 i po 1911 r., spłonął w wyniku działań wojennych w 1944r., a następnie został odbudowany w latach 1948–49. We wnętrzu można rozpoznać cechy charakterystyczne dla baroku tj. m.in. pilastry, lizeny, ramy z płycinami na elewacjach, półkoliste otwory: wejściowy oraz wieńczący okna, falisty szczyt, na skrzyżowaniu transeptu i nawy ośmioboczna latarnia pozornej kopuły z sygnaturką, w ramionach transeptu.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b/>
          <w:bCs/>
        </w:rPr>
        <w:t>Latarnie chocimskie</w:t>
      </w:r>
    </w:p>
    <w:p>
      <w:pPr>
        <w:pStyle w:val="Normal"/>
        <w:spacing w:lineRule="auto" w:line="240" w:before="0" w:after="0"/>
        <w:jc w:val="both"/>
        <w:rPr>
          <w:rFonts w:cs="Calibri" w:cstheme="minorHAnsi"/>
        </w:rPr>
      </w:pPr>
      <w:r>
        <w:rPr>
          <w:rFonts w:cs="Calibri" w:cstheme="minorHAnsi"/>
        </w:rPr>
        <w:t xml:space="preserve">Nazwa tradycyjnie odnosząca się tylko do kapliczki znajdującej się przy ul. Zawichojskiej </w:t>
        <w:br/>
        <w:t xml:space="preserve">w Sandomierzu została przyjęta od XIX w. przez okoliczną społeczność dla określenia zespołu pięciu kapliczek latarniowych tzw. latarni chocimskich, zlokalizowanych w Nowych Kicharach, Nowym Garbowie, Gierlachowie oraz Sandomierzu. Nazwa ta jest związana z tradycją okoliczności ich powstania. Zgodnie z przekazami latarnie mieli wznieść rycerze Chorągwi Ziemi Sandomierskiej wracający po wygranej bitwie z Turkami w 1673 roku pod Chocimiem, gdzie zwycięzcy walczyli </w:t>
        <w:br/>
        <w:t>w szeregach wojsk hetmana Jana Sobieskiego. Inna wersja głosi, iż figury powstały w celu upamiętnienia innej wojny polsko-tureckiej stoczonej pod przywództwem hetmana Jana Karola Chodkiewicza, a następnie Stanisława Lubomirskiego w obronie twierdzy Chocim, która zakończyła się podpisaniem traktatu pokojowego.</w:t>
      </w:r>
    </w:p>
    <w:p>
      <w:pPr>
        <w:pStyle w:val="Normal"/>
        <w:spacing w:lineRule="auto" w:line="240" w:before="0" w:after="0"/>
        <w:jc w:val="both"/>
        <w:rPr>
          <w:rFonts w:cs="Calibri" w:cstheme="minorHAnsi"/>
        </w:rPr>
      </w:pPr>
      <w:r>
        <w:rPr>
          <w:rFonts w:cs="Calibri" w:cstheme="minorHAnsi"/>
        </w:rPr>
      </w:r>
    </w:p>
    <w:p>
      <w:pPr>
        <w:pStyle w:val="Caption"/>
        <w:spacing w:lineRule="auto" w:line="240" w:before="0" w:after="0"/>
        <w:rPr>
          <w:rFonts w:ascii="Calibri" w:hAnsi="Calibri" w:cs="Calibri" w:asciiTheme="minorHAnsi" w:cstheme="minorHAnsi" w:hAnsiTheme="minorHAnsi"/>
          <w:b w:val="false"/>
          <w:b w:val="false"/>
          <w:bCs w:val="false"/>
        </w:rPr>
      </w:pPr>
      <w:r>
        <w:rPr>
          <w:rFonts w:cs="Calibri" w:cstheme="minorHAnsi"/>
          <w:b w:val="false"/>
          <w:bCs w:val="false"/>
        </w:rPr>
        <w:t xml:space="preserve"> </w:t>
      </w:r>
      <w:bookmarkStart w:id="87" w:name="_Toc118887441"/>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6</w:t>
      </w:r>
      <w:r>
        <w:rPr>
          <w:b w:val="false"/>
          <w:bCs w:val="false"/>
          <w:rFonts w:cs="Calibri"/>
        </w:rPr>
        <w:fldChar w:fldCharType="end"/>
      </w:r>
      <w:r>
        <w:rPr>
          <w:rFonts w:cs="Calibri" w:cstheme="minorHAnsi"/>
          <w:b w:val="false"/>
          <w:bCs w:val="false"/>
        </w:rPr>
        <w:t xml:space="preserve"> Latarnia chocimska w Gierlachowie</w:t>
        <w:tab/>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7</w:t>
      </w:r>
      <w:r>
        <w:rPr>
          <w:b w:val="false"/>
          <w:bCs w:val="false"/>
          <w:rFonts w:cs="Calibri"/>
        </w:rPr>
        <w:fldChar w:fldCharType="end"/>
      </w:r>
      <w:r>
        <w:rPr>
          <w:rFonts w:cs="Calibri" w:cstheme="minorHAnsi"/>
          <w:b w:val="false"/>
          <w:bCs w:val="false"/>
        </w:rPr>
        <w:t xml:space="preserve"> Latarnia chocimska w Nowym Garbowie</w:t>
      </w:r>
      <w:bookmarkEnd w:id="87"/>
    </w:p>
    <w:p>
      <w:pPr>
        <w:pStyle w:val="Normal"/>
        <w:spacing w:lineRule="auto" w:line="240" w:before="0" w:after="0"/>
        <w:jc w:val="both"/>
        <w:rPr>
          <w:rFonts w:cs="Calibri" w:cstheme="minorHAnsi"/>
          <w:sz w:val="8"/>
          <w:szCs w:val="8"/>
        </w:rPr>
      </w:pPr>
      <w:r>
        <w:rPr>
          <w:rFonts w:cs="Calibri" w:cstheme="minorHAnsi"/>
          <w:sz w:val="8"/>
          <w:szCs w:val="8"/>
        </w:rPr>
      </w:r>
    </w:p>
    <w:p>
      <w:pPr>
        <w:pStyle w:val="Normal"/>
        <w:spacing w:lineRule="auto" w:line="240" w:before="0" w:after="0"/>
        <w:jc w:val="both"/>
        <w:rPr>
          <w:rFonts w:cs="Calibri" w:cstheme="minorHAnsi"/>
        </w:rPr>
      </w:pPr>
      <w:r>
        <w:rPr>
          <w:rFonts w:cs="Calibri" w:cstheme="minorHAnsi"/>
        </w:rPr>
        <mc:AlternateContent>
          <mc:Choice Requires="wps">
            <w:drawing>
              <wp:anchor behindDoc="0" distT="0" distB="4445" distL="103505" distR="98425" simplePos="0" locked="0" layoutInCell="0" allowOverlap="1" relativeHeight="19" wp14:anchorId="6C8434B7">
                <wp:simplePos x="0" y="0"/>
                <wp:positionH relativeFrom="column">
                  <wp:posOffset>26670</wp:posOffset>
                </wp:positionH>
                <wp:positionV relativeFrom="paragraph">
                  <wp:posOffset>69850</wp:posOffset>
                </wp:positionV>
                <wp:extent cx="2175510" cy="2900680"/>
                <wp:effectExtent l="144145" t="126365" r="144780" b="161925"/>
                <wp:wrapSquare wrapText="bothSides"/>
                <wp:docPr id="15" name="Obraz 19"/>
                <a:graphic xmlns:a="http://schemas.openxmlformats.org/drawingml/2006/main">
                  <a:graphicData uri="http://schemas.openxmlformats.org/drawingml/2006/picture">
                    <pic:pic xmlns:pic="http://schemas.openxmlformats.org/drawingml/2006/picture">
                      <pic:nvPicPr>
                        <pic:cNvPr id="0" name="Obraz 19" descr=""/>
                        <pic:cNvPicPr/>
                      </pic:nvPicPr>
                      <pic:blipFill>
                        <a:blip r:embed="rId18"/>
                        <a:stretch/>
                      </pic:blipFill>
                      <pic:spPr>
                        <a:xfrm>
                          <a:off x="0" y="0"/>
                          <a:ext cx="2175480" cy="29005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19" stroked="t" o:allowincell="f" style="position:absolute;margin-left:2.1pt;margin-top:5.5pt;width:171.25pt;height:228.35pt;mso-wrap-style:none;v-text-anchor:middle" wp14:anchorId="6C8434B7" type="_x0000_t75">
                <v:imagedata r:id="rId19" o:detectmouseclick="t"/>
                <v:stroke color="white" weight="88920" joinstyle="miter" endcap="square"/>
                <v:shadow on="t" obscured="f" color="black"/>
                <w10:wrap type="square"/>
              </v:shape>
            </w:pict>
          </mc:Fallback>
        </mc:AlternateContent>
        <mc:AlternateContent>
          <mc:Choice Requires="wps">
            <w:drawing>
              <wp:anchor behindDoc="0" distT="0" distB="9525" distL="103505" distR="102870" simplePos="0" locked="0" layoutInCell="0" allowOverlap="1" relativeHeight="26" wp14:anchorId="7250D5D8">
                <wp:simplePos x="0" y="0"/>
                <wp:positionH relativeFrom="column">
                  <wp:posOffset>3105150</wp:posOffset>
                </wp:positionH>
                <wp:positionV relativeFrom="paragraph">
                  <wp:posOffset>123190</wp:posOffset>
                </wp:positionV>
                <wp:extent cx="2114550" cy="2819400"/>
                <wp:effectExtent l="144145" t="126365" r="144145" b="161925"/>
                <wp:wrapSquare wrapText="bothSides"/>
                <wp:docPr id="16" name="Obraz 20"/>
                <a:graphic xmlns:a="http://schemas.openxmlformats.org/drawingml/2006/main">
                  <a:graphicData uri="http://schemas.openxmlformats.org/drawingml/2006/picture">
                    <pic:pic xmlns:pic="http://schemas.openxmlformats.org/drawingml/2006/picture">
                      <pic:nvPicPr>
                        <pic:cNvPr id="1" name="Obraz 20" descr=""/>
                        <pic:cNvPicPr/>
                      </pic:nvPicPr>
                      <pic:blipFill>
                        <a:blip r:embed="rId20"/>
                        <a:stretch/>
                      </pic:blipFill>
                      <pic:spPr>
                        <a:xfrm>
                          <a:off x="0" y="0"/>
                          <a:ext cx="2114640" cy="28195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Obraz 20" stroked="t" o:allowincell="f" style="position:absolute;margin-left:244.5pt;margin-top:9.7pt;width:166.45pt;height:221.95pt;mso-wrap-style:none;v-text-anchor:middle" wp14:anchorId="7250D5D8" type="_x0000_t75">
                <v:imagedata r:id="rId21" o:detectmouseclick="t"/>
                <v:stroke color="white" weight="88920" joinstyle="miter" endcap="square"/>
                <v:shadow on="t" obscured="f" color="black"/>
                <w10:wrap type="square"/>
              </v:shape>
            </w:pict>
          </mc:Fallback>
        </mc:AlternateConten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rPr>
          <w:rFonts w:cs="Calibri" w:cstheme="minorHAnsi"/>
        </w:rPr>
      </w:pPr>
      <w:r>
        <w:rPr>
          <w:rFonts w:cs="Calibri" w:cstheme="minorHAnsi"/>
        </w:rPr>
      </w:r>
    </w:p>
    <w:p>
      <w:pPr>
        <w:pStyle w:val="Normal"/>
        <w:spacing w:lineRule="auto" w:line="240" w:before="0" w:after="0"/>
        <w:jc w:val="center"/>
        <w:rPr>
          <w:rFonts w:cs="Calibri" w:cstheme="minorHAnsi"/>
          <w:sz w:val="20"/>
          <w:szCs w:val="20"/>
        </w:rPr>
      </w:pPr>
      <w:r>
        <w:rPr>
          <w:rFonts w:cs="Calibri" w:cstheme="minorHAnsi"/>
          <w:sz w:val="20"/>
          <w:szCs w:val="20"/>
        </w:rPr>
        <w:t xml:space="preserve">Źródło: </w:t>
      </w:r>
      <w:hyperlink r:id="rId22">
        <w:r>
          <w:rPr>
            <w:rStyle w:val="Czeinternetowe"/>
            <w:rFonts w:cs="Calibri" w:cstheme="minorHAnsi"/>
            <w:color w:val="auto"/>
            <w:sz w:val="20"/>
            <w:szCs w:val="20"/>
            <w:u w:val="none"/>
          </w:rPr>
          <w:t>dwikozy.gmina.pl</w:t>
        </w:r>
      </w:hyperlink>
    </w:p>
    <w:p>
      <w:pPr>
        <w:pStyle w:val="Normal"/>
        <w:spacing w:lineRule="auto" w:line="240" w:before="0" w:after="0"/>
        <w:jc w:val="center"/>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Oprócz obiektów zabytkowych  na terenie gminy istnieją liczne, kapliczki, a także stanowiska archeologiczne i miejsca pamięci narodowej. Połączenie potencjału przyrodniczego i kulturowego spowodowało powstawanie na terenie gminy nowych, atrakcyjnych produktów turystycznych. Znajdują się tutaj </w:t>
      </w:r>
      <w:bookmarkStart w:id="88" w:name="_Hlk118885105"/>
      <w:r>
        <w:rPr>
          <w:rFonts w:cs="Calibri" w:cstheme="minorHAnsi"/>
        </w:rPr>
        <w:t>ścieżki questingowe, skrytki „geocache”, szlaki piesze i rowerowe, a także szlaki nordic walking i narciarstwa biegowego</w:t>
      </w:r>
      <w:bookmarkEnd w:id="88"/>
      <w:r>
        <w:rPr>
          <w:rFonts w:cs="Calibri" w:cstheme="minorHAnsi"/>
        </w:rPr>
        <w:t xml:space="preserve">. Teren gminy jest celem wycieczek (zwykle turystyka jednego dnia), podczas których turyści odkrywają jej unikatowe walory. Rozwój produktów turystycznych </w:t>
        <w:br/>
        <w:t>i działania promocyjne gminy wspierane były poprzez powstające nowe obiekty noclegowe. Obecnie na terenie gminy znajduje się:</w:t>
      </w:r>
    </w:p>
    <w:p>
      <w:pPr>
        <w:pStyle w:val="ListParagraph"/>
        <w:numPr>
          <w:ilvl w:val="0"/>
          <w:numId w:val="71"/>
        </w:numPr>
        <w:spacing w:lineRule="auto" w:line="240" w:before="0" w:after="0"/>
        <w:jc w:val="both"/>
        <w:rPr>
          <w:rFonts w:cs="Calibri" w:cstheme="minorHAnsi"/>
        </w:rPr>
      </w:pPr>
      <w:r>
        <w:rPr>
          <w:rFonts w:cs="Calibri" w:cstheme="minorHAnsi"/>
          <w:b/>
          <w:bCs/>
        </w:rPr>
        <w:t>Dwór Dwikozy</w:t>
      </w:r>
      <w:r>
        <w:rPr>
          <w:rFonts w:cs="Calibri" w:cstheme="minorHAnsi"/>
        </w:rPr>
        <w:t xml:space="preserve"> - obiekt restauracyjno- hotelowy w odległości 7 km od Sandomierza. Dwór otaczają wspaniałe tereny ziemi sandomierskiej, nieopodal przebiegają liczne szlaki turystyczne: </w:t>
      </w:r>
      <w:bookmarkStart w:id="89" w:name="_Hlk118885259"/>
      <w:r>
        <w:rPr>
          <w:rFonts w:cs="Calibri" w:cstheme="minorHAnsi"/>
        </w:rPr>
        <w:t>cysterski, św. Jakuba, Via Jagiellonica, Architektury Drewnianej</w:t>
      </w:r>
      <w:bookmarkEnd w:id="89"/>
      <w:r>
        <w:rPr>
          <w:rFonts w:cs="Calibri" w:cstheme="minorHAnsi"/>
        </w:rPr>
        <w:t>, jak również przepiękne miasto Sandomierz,</w:t>
      </w:r>
    </w:p>
    <w:p>
      <w:pPr>
        <w:pStyle w:val="ListParagraph"/>
        <w:numPr>
          <w:ilvl w:val="0"/>
          <w:numId w:val="71"/>
        </w:numPr>
        <w:spacing w:lineRule="auto" w:line="240" w:before="0" w:after="0"/>
        <w:jc w:val="both"/>
        <w:rPr>
          <w:rFonts w:cs="Calibri" w:cstheme="minorHAnsi"/>
        </w:rPr>
      </w:pPr>
      <w:r>
        <w:rPr>
          <w:rFonts w:cs="Calibri" w:cstheme="minorHAnsi"/>
        </w:rPr>
        <w:t>Gościniec „Ceglane Kąty” - obiekt gastronomiczno-hotelowy,</w:t>
      </w:r>
    </w:p>
    <w:p>
      <w:pPr>
        <w:pStyle w:val="ListParagraph"/>
        <w:numPr>
          <w:ilvl w:val="0"/>
          <w:numId w:val="71"/>
        </w:numPr>
        <w:spacing w:lineRule="auto" w:line="240" w:before="0" w:after="0"/>
        <w:jc w:val="both"/>
        <w:rPr>
          <w:rFonts w:cs="Calibri" w:cstheme="minorHAnsi"/>
        </w:rPr>
      </w:pPr>
      <w:r>
        <w:rPr>
          <w:rFonts w:cs="Calibri" w:cstheme="minorHAnsi"/>
          <w:b/>
          <w:bCs/>
        </w:rPr>
        <w:t xml:space="preserve">Willa Dzika Róża - </w:t>
      </w:r>
      <w:r>
        <w:rPr>
          <w:rFonts w:cs="Calibri" w:cstheme="minorHAnsi"/>
        </w:rPr>
        <w:t xml:space="preserve">gospodarstwo agroturystyczne o profilu przyrodniczym w „Górach Pieprzowych”, </w:t>
      </w:r>
    </w:p>
    <w:p>
      <w:pPr>
        <w:pStyle w:val="ListParagraph"/>
        <w:numPr>
          <w:ilvl w:val="0"/>
          <w:numId w:val="71"/>
        </w:numPr>
        <w:spacing w:lineRule="auto" w:line="240" w:before="0" w:after="0"/>
        <w:jc w:val="both"/>
        <w:rPr>
          <w:rFonts w:cs="Calibri" w:cstheme="minorHAnsi"/>
        </w:rPr>
      </w:pPr>
      <w:r>
        <w:rPr>
          <w:rFonts w:cs="Calibri" w:cstheme="minorHAnsi"/>
          <w:b/>
          <w:bCs/>
        </w:rPr>
        <w:t>Sad Sandomierski</w:t>
      </w:r>
      <w:r>
        <w:rPr>
          <w:rFonts w:cs="Calibri" w:cstheme="minorHAnsi"/>
        </w:rPr>
        <w:t xml:space="preserve"> - gospodarstwo agroturystyczne położone w miejscowości Stare Kichary.</w:t>
      </w:r>
    </w:p>
    <w:p>
      <w:pPr>
        <w:pStyle w:val="ListParagraph"/>
        <w:numPr>
          <w:ilvl w:val="0"/>
          <w:numId w:val="71"/>
        </w:numPr>
        <w:spacing w:lineRule="auto" w:line="240" w:before="0" w:after="0"/>
        <w:jc w:val="both"/>
        <w:rPr>
          <w:rFonts w:cs="Calibri" w:cstheme="minorHAnsi"/>
        </w:rPr>
      </w:pPr>
      <w:r>
        <w:rPr>
          <w:rFonts w:cs="Calibri" w:cstheme="minorHAnsi"/>
        </w:rPr>
        <w:t>Gospodarstwo Agroturystyczne Jerzy Frańczak, w którym znajduje się plac zabaw dla dzieci oraz altana z możliwością grillowania,</w:t>
      </w:r>
    </w:p>
    <w:p>
      <w:pPr>
        <w:pStyle w:val="ListParagraph"/>
        <w:numPr>
          <w:ilvl w:val="0"/>
          <w:numId w:val="71"/>
        </w:numPr>
        <w:spacing w:lineRule="auto" w:line="240" w:before="0" w:after="0"/>
        <w:jc w:val="both"/>
        <w:rPr>
          <w:rFonts w:cs="Calibri" w:cstheme="minorHAnsi"/>
        </w:rPr>
      </w:pPr>
      <w:r>
        <w:rPr>
          <w:rFonts w:cs="Calibri" w:cstheme="minorHAnsi"/>
        </w:rPr>
        <w:t xml:space="preserve">stadnina koni (Gościniec Husarski), </w:t>
      </w:r>
    </w:p>
    <w:p>
      <w:pPr>
        <w:pStyle w:val="ListParagraph"/>
        <w:numPr>
          <w:ilvl w:val="0"/>
          <w:numId w:val="71"/>
        </w:numPr>
        <w:spacing w:lineRule="auto" w:line="240" w:before="0" w:after="0"/>
        <w:jc w:val="both"/>
        <w:rPr>
          <w:rFonts w:cs="Calibri" w:cstheme="minorHAnsi"/>
        </w:rPr>
      </w:pPr>
      <w:r>
        <w:rPr>
          <w:rFonts w:cs="Calibri" w:cstheme="minorHAnsi"/>
          <w:b/>
          <w:bCs/>
        </w:rPr>
        <w:t>Winnica Sandomierska</w:t>
      </w:r>
      <w:r>
        <w:rPr>
          <w:rFonts w:cs="Calibri" w:cstheme="minorHAnsi"/>
        </w:rPr>
        <w:t xml:space="preserve"> odnosząca sukcesy na arenie krajowej i międzynarodowej.</w:t>
      </w:r>
    </w:p>
    <w:p>
      <w:pPr>
        <w:pStyle w:val="NoSpacing"/>
        <w:jc w:val="both"/>
        <w:rPr>
          <w:rFonts w:ascii="Calibri" w:hAnsi="Calibri" w:cs="Calibri" w:asciiTheme="minorHAnsi" w:cstheme="minorHAnsi" w:hAnsiTheme="minorHAnsi"/>
        </w:rPr>
      </w:pPr>
      <w:r>
        <w:rPr>
          <w:rFonts w:cs="Calibri" w:cstheme="minorHAnsi"/>
        </w:rPr>
        <w:t>Winnica znajduje się w dolinie rzeki Opatówki, około 7km od Sandomierza. Powstała on  w 2010 roku i zajmuje powierzchnię 1 ha. Uprawia się tu odmiany typowe dla polskiego klimatu, z czerwonych: regent, cabernet cantor, marechal foch, leon millot; z białych: riesling, hibernal, solaris, seyval blanc. Winnica należy do Sandomierskiego Stowarzyszenia Winiarzy.</w:t>
      </w:r>
    </w:p>
    <w:p>
      <w:pPr>
        <w:pStyle w:val="NoSpacing"/>
        <w:jc w:val="both"/>
        <w:rPr>
          <w:rFonts w:ascii="Calibri" w:hAnsi="Calibri" w:cs="Calibri" w:asciiTheme="minorHAnsi" w:cstheme="minorHAnsi" w:hAnsi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color w:val="000000" w:themeColor="text1"/>
        </w:rPr>
      </w:pPr>
      <w:bookmarkStart w:id="90" w:name="_Toc69212086"/>
      <w:bookmarkStart w:id="91" w:name="_Toc118887442"/>
      <w:bookmarkEnd w:id="90"/>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8</w:t>
      </w:r>
      <w:r>
        <w:rPr>
          <w:b w:val="false"/>
          <w:bCs w:val="false"/>
          <w:rFonts w:cs="Calibri"/>
        </w:rPr>
        <w:fldChar w:fldCharType="end"/>
      </w:r>
      <w:r>
        <w:rPr>
          <w:rFonts w:cs="Calibri" w:cstheme="minorHAnsi"/>
          <w:b w:val="false"/>
          <w:bCs w:val="false"/>
        </w:rPr>
        <w:t xml:space="preserve"> Restauracja „Dwór Dwikozy”</w:t>
      </w:r>
      <w:bookmarkEnd w:id="91"/>
    </w:p>
    <w:p>
      <w:pPr>
        <w:pStyle w:val="NoSpacing"/>
        <w:jc w:val="center"/>
        <w:rPr>
          <w:color w:val="000000" w:themeColor="text1"/>
          <w:sz w:val="20"/>
          <w:szCs w:val="20"/>
        </w:rPr>
      </w:pPr>
      <w:r>
        <w:rPr/>
        <mc:AlternateContent>
          <mc:Choice Requires="wps">
            <w:drawing>
              <wp:inline distT="0" distB="0" distL="0" distR="0" wp14:anchorId="7F9B6062">
                <wp:extent cx="4596130" cy="2585085"/>
                <wp:effectExtent l="114300" t="114300" r="109220" b="158115"/>
                <wp:docPr id="17" name="Picture 18"/>
                <a:graphic xmlns:a="http://schemas.openxmlformats.org/drawingml/2006/main">
                  <a:graphicData uri="http://schemas.openxmlformats.org/drawingml/2006/picture">
                    <pic:pic xmlns:pic="http://schemas.openxmlformats.org/drawingml/2006/picture">
                      <pic:nvPicPr>
                        <pic:cNvPr id="2" name="Picture 18" descr=""/>
                        <pic:cNvPicPr/>
                      </pic:nvPicPr>
                      <pic:blipFill>
                        <a:blip r:embed="rId23"/>
                        <a:stretch/>
                      </pic:blipFill>
                      <pic:spPr>
                        <a:xfrm>
                          <a:off x="0" y="0"/>
                          <a:ext cx="4596120" cy="25851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8" stroked="t" o:allowincell="f" style="position:absolute;margin-left:0pt;margin-top:-225.05pt;width:361.85pt;height:203.5pt;mso-wrap-style:none;v-text-anchor:middle;mso-position-vertical:top" wp14:anchorId="7F9B6062" type="_x0000_t75">
                <v:imagedata r:id="rId24" o:detectmouseclick="t"/>
                <v:stroke color="white" weight="88920" joinstyle="miter" endcap="square"/>
                <v:shadow on="t" obscured="f" color="black"/>
                <w10:wrap type="square"/>
              </v:shape>
            </w:pict>
          </mc:Fallback>
        </mc:AlternateContent>
      </w:r>
    </w:p>
    <w:p>
      <w:pPr>
        <w:pStyle w:val="NoSpacing"/>
        <w:jc w:val="center"/>
        <w:rPr>
          <w:sz w:val="20"/>
          <w:szCs w:val="20"/>
        </w:rPr>
      </w:pPr>
      <w:r>
        <w:rPr>
          <w:sz w:val="20"/>
          <w:szCs w:val="20"/>
        </w:rPr>
        <w:t xml:space="preserve">Źródło: </w:t>
      </w:r>
      <w:hyperlink r:id="rId25">
        <w:r>
          <w:rPr>
            <w:rStyle w:val="Czeinternetowe"/>
            <w:rFonts w:cs="Calibri" w:cstheme="minorHAnsi"/>
            <w:color w:val="auto"/>
            <w:sz w:val="20"/>
            <w:szCs w:val="20"/>
            <w:u w:val="none"/>
          </w:rPr>
          <w:t>dwikozy.gmina.pl</w:t>
        </w:r>
      </w:hyperlink>
    </w:p>
    <w:p>
      <w:pPr>
        <w:pStyle w:val="NoSpacing"/>
        <w:rPr>
          <w:rFonts w:ascii="Calibri" w:hAnsi="Calibri" w:cs="Calibri" w:asciiTheme="minorHAnsi" w:cstheme="minorHAnsi" w:hAnsiTheme="minorHAnsi"/>
          <w:b/>
          <w:b/>
          <w:bCs/>
          <w:color w:val="000000" w:themeColor="text1"/>
        </w:rPr>
      </w:pPr>
      <w:r>
        <w:rPr>
          <w:rFonts w:cs="Calibri" w:cstheme="minorHAnsi"/>
          <w:b/>
          <w:bCs/>
          <w:color w:val="000000" w:themeColor="text1"/>
        </w:rPr>
      </w:r>
    </w:p>
    <w:p>
      <w:pPr>
        <w:pStyle w:val="NoSpacing"/>
        <w:rPr>
          <w:rFonts w:ascii="Calibri" w:hAnsi="Calibri" w:eastAsia="Times New Roman" w:cs="Calibri" w:asciiTheme="minorHAnsi" w:cstheme="minorHAnsi" w:hAnsiTheme="minorHAnsi"/>
          <w:b/>
          <w:b/>
          <w:color w:val="000000" w:themeColor="text1"/>
          <w:lang w:eastAsia="pl-PL"/>
        </w:rPr>
      </w:pPr>
      <w:r>
        <w:rPr>
          <w:rFonts w:cs="Calibri" w:cstheme="minorHAnsi"/>
          <w:b/>
          <w:bCs/>
          <w:color w:val="000000" w:themeColor="text1"/>
        </w:rPr>
        <w:t>Zdiagnozowane potrzeby Gminy Dwikozy w zakresie przedsięwzięć</w:t>
      </w:r>
      <w:r>
        <w:rPr>
          <w:rFonts w:eastAsia="Times New Roman" w:cs="Calibri" w:cstheme="minorHAnsi"/>
          <w:b/>
          <w:bCs/>
          <w:color w:val="000000" w:themeColor="text1"/>
          <w:lang w:eastAsia="pl-PL"/>
        </w:rPr>
        <w:t xml:space="preserve"> turystyczno- kulturalnych oraz z zakresu zachowania dziedzictwa kulturalnego: </w:t>
      </w:r>
    </w:p>
    <w:p>
      <w:pPr>
        <w:pStyle w:val="Normal"/>
        <w:spacing w:lineRule="auto" w:line="240"/>
        <w:jc w:val="both"/>
        <w:rPr>
          <w:rFonts w:ascii="Calibri" w:hAnsi="Calibri" w:eastAsia="Calibri" w:cs="Calibri"/>
          <w:color w:val="000000"/>
          <w:sz w:val="20"/>
          <w:szCs w:val="20"/>
          <w:lang w:eastAsia="pl-PL"/>
        </w:rPr>
      </w:pPr>
      <w:bookmarkStart w:id="92" w:name="_Toc69212086"/>
      <w:bookmarkStart w:id="93" w:name="_Toc69212054"/>
      <w:bookmarkEnd w:id="92"/>
      <w:r>
        <w:rPr>
          <w:rFonts w:eastAsia="Calibri" w:cs="Calibri"/>
          <w:color w:val="000000"/>
          <w:lang w:eastAsia="pl-PL"/>
        </w:rPr>
        <w:t>1. Rozbudowa ścieżek rowerowych na terenie Gminy Dwikozy zgodnie m.in. z</w:t>
      </w:r>
      <w:r>
        <w:rPr>
          <w:rFonts w:eastAsia="Calibri" w:cs="Times New Roman"/>
        </w:rPr>
        <w:t xml:space="preserve"> „Koncepcją przebiegu tras rowerowych na terenie województwa świętokrzyskiego” przyjętego Uchwałą Zarządu Województwa Świętokrzyskiego nr 4962/22 z dnia 02.03.2022 r.) w ramach trasy regionalnej nr 157 o</w:t>
      </w:r>
      <w:r>
        <w:rPr>
          <w:rFonts w:eastAsia="Calibri" w:cs="Calibri"/>
          <w:color w:val="000000"/>
          <w:lang w:eastAsia="pl-PL"/>
        </w:rPr>
        <w:t>raz wspólnie z innymi samorządami (m.in. Gminą Wilczyce) w ramach OSI Dolina Wisły i MOF Sandomierza.</w:t>
      </w:r>
      <w:r>
        <w:rPr>
          <w:rFonts w:eastAsia="Calibri" w:cs="Calibri"/>
          <w:color w:val="000000"/>
          <w:sz w:val="20"/>
          <w:szCs w:val="20"/>
          <w:lang w:eastAsia="pl-PL"/>
        </w:rPr>
        <w:t xml:space="preserve"> </w:t>
      </w:r>
    </w:p>
    <w:p>
      <w:pPr>
        <w:pStyle w:val="Normal"/>
        <w:spacing w:lineRule="auto" w:line="240" w:before="0" w:after="0"/>
        <w:jc w:val="both"/>
        <w:rPr>
          <w:rFonts w:ascii="Calibri" w:hAnsi="Calibri" w:eastAsia="Calibri" w:cs="Calibri"/>
          <w:color w:val="000000"/>
          <w:lang w:eastAsia="pl-PL"/>
        </w:rPr>
      </w:pPr>
      <w:r>
        <w:rPr>
          <w:rFonts w:eastAsia="Calibri" w:cs="Calibri"/>
          <w:color w:val="000000"/>
          <w:lang w:eastAsia="pl-PL"/>
        </w:rPr>
        <w:t xml:space="preserve">2. Remont (konserwacja) obecnie funkcjonujących szlaków turystycznych oraz wytyczenie </w:t>
        <w:br/>
        <w:t>i oznakowanie nowych (w zależności od potrzeb).</w:t>
      </w:r>
    </w:p>
    <w:p>
      <w:pPr>
        <w:pStyle w:val="Normal"/>
        <w:spacing w:lineRule="auto" w:line="240" w:before="0" w:after="0"/>
        <w:jc w:val="both"/>
        <w:rPr>
          <w:rFonts w:ascii="Calibri" w:hAnsi="Calibri" w:eastAsia="Calibri" w:cs="Times New Roman"/>
          <w:lang w:eastAsia="pl-PL"/>
        </w:rPr>
      </w:pPr>
      <w:r>
        <w:rPr>
          <w:rFonts w:eastAsia="Calibri" w:cs="Times New Roman"/>
          <w:lang w:eastAsia="pl-PL"/>
        </w:rPr>
        <w:t>3. Rozwój infrastruktury turystycznej:</w:t>
      </w:r>
    </w:p>
    <w:p>
      <w:pPr>
        <w:pStyle w:val="Normal"/>
        <w:numPr>
          <w:ilvl w:val="0"/>
          <w:numId w:val="72"/>
        </w:numPr>
        <w:spacing w:lineRule="auto" w:line="240" w:before="0" w:after="0"/>
        <w:jc w:val="both"/>
        <w:rPr>
          <w:rFonts w:ascii="Calibri" w:hAnsi="Calibri" w:eastAsia="Calibri" w:cs="Times New Roman"/>
          <w:lang w:eastAsia="pl-PL"/>
        </w:rPr>
      </w:pPr>
      <w:r>
        <w:rPr>
          <w:rFonts w:eastAsia="Times New Roman" w:cs="Calibri"/>
          <w:color w:val="000000"/>
          <w:lang w:eastAsia="pl-PL"/>
        </w:rPr>
        <w:t>budowa pól campingowych,</w:t>
      </w:r>
    </w:p>
    <w:p>
      <w:pPr>
        <w:pStyle w:val="Normal"/>
        <w:numPr>
          <w:ilvl w:val="0"/>
          <w:numId w:val="72"/>
        </w:numPr>
        <w:spacing w:lineRule="auto" w:line="240" w:before="0" w:after="0"/>
        <w:jc w:val="both"/>
        <w:rPr>
          <w:rFonts w:ascii="Calibri" w:hAnsi="Calibri" w:eastAsia="Calibri" w:cs="Times New Roman"/>
          <w:lang w:eastAsia="pl-PL"/>
        </w:rPr>
      </w:pPr>
      <w:r>
        <w:rPr>
          <w:rFonts w:eastAsia="Calibri" w:cs="Times New Roman"/>
        </w:rPr>
        <w:t>budowa stanowisk i miejsc postojowych dla kamperów,</w:t>
      </w:r>
    </w:p>
    <w:p>
      <w:pPr>
        <w:pStyle w:val="Normal"/>
        <w:numPr>
          <w:ilvl w:val="0"/>
          <w:numId w:val="72"/>
        </w:numPr>
        <w:spacing w:lineRule="auto" w:line="240" w:before="0" w:after="0"/>
        <w:jc w:val="both"/>
        <w:rPr>
          <w:rFonts w:ascii="Calibri" w:hAnsi="Calibri" w:eastAsia="Calibri" w:cs="Times New Roman"/>
          <w:lang w:eastAsia="pl-PL"/>
        </w:rPr>
      </w:pPr>
      <w:r>
        <w:rPr>
          <w:rFonts w:eastAsia="Calibri" w:cs="Times New Roman"/>
        </w:rPr>
        <w:t>budowa Miejsc Odpoczynku Rowerzystów,</w:t>
      </w:r>
    </w:p>
    <w:p>
      <w:pPr>
        <w:pStyle w:val="Normal"/>
        <w:numPr>
          <w:ilvl w:val="0"/>
          <w:numId w:val="72"/>
        </w:numPr>
        <w:spacing w:lineRule="auto" w:line="240" w:before="0" w:after="0"/>
        <w:jc w:val="both"/>
        <w:rPr>
          <w:rFonts w:ascii="Calibri" w:hAnsi="Calibri" w:eastAsia="Calibri" w:cs="Times New Roman"/>
          <w:lang w:eastAsia="pl-PL"/>
        </w:rPr>
      </w:pPr>
      <w:r>
        <w:rPr>
          <w:rFonts w:eastAsia="Calibri" w:cs="Times New Roman"/>
        </w:rPr>
        <w:t>utworzenie wypożyczalni rowerów,</w:t>
      </w:r>
    </w:p>
    <w:p>
      <w:pPr>
        <w:pStyle w:val="Normal"/>
        <w:numPr>
          <w:ilvl w:val="0"/>
          <w:numId w:val="72"/>
        </w:numPr>
        <w:spacing w:lineRule="auto" w:line="240" w:before="0" w:after="0"/>
        <w:jc w:val="both"/>
        <w:rPr>
          <w:rFonts w:ascii="Calibri" w:hAnsi="Calibri" w:eastAsia="Calibri" w:cs="Times New Roman"/>
          <w:lang w:eastAsia="pl-PL"/>
        </w:rPr>
      </w:pPr>
      <w:r>
        <w:rPr>
          <w:rFonts w:eastAsia="Calibri" w:cs="Times New Roman"/>
        </w:rPr>
        <w:t>wykonanie letniego toru saneczkowego,</w:t>
      </w:r>
    </w:p>
    <w:p>
      <w:pPr>
        <w:pStyle w:val="Normal"/>
        <w:numPr>
          <w:ilvl w:val="0"/>
          <w:numId w:val="72"/>
        </w:numPr>
        <w:spacing w:lineRule="auto" w:line="240" w:before="0" w:after="0"/>
        <w:jc w:val="both"/>
        <w:rPr>
          <w:rFonts w:ascii="Calibri" w:hAnsi="Calibri" w:eastAsia="Calibri" w:cs="Times New Roman"/>
          <w:lang w:eastAsia="pl-PL"/>
        </w:rPr>
      </w:pPr>
      <w:r>
        <w:rPr>
          <w:rFonts w:eastAsia="Calibri" w:cs="Times New Roman"/>
        </w:rPr>
        <w:t>zakup wyposażenia niezbędnego do organizacji spływów kajakowych na rzece Opatówka,</w:t>
      </w:r>
    </w:p>
    <w:p>
      <w:pPr>
        <w:pStyle w:val="Normal"/>
        <w:numPr>
          <w:ilvl w:val="0"/>
          <w:numId w:val="72"/>
        </w:numPr>
        <w:spacing w:lineRule="auto" w:line="240" w:before="0" w:after="0"/>
        <w:jc w:val="both"/>
        <w:rPr>
          <w:rFonts w:ascii="Calibri" w:hAnsi="Calibri" w:eastAsia="Calibri" w:cs="Times New Roman"/>
          <w:lang w:eastAsia="pl-PL"/>
        </w:rPr>
      </w:pPr>
      <w:r>
        <w:rPr>
          <w:rFonts w:eastAsia="Calibri" w:cs="Times New Roman"/>
        </w:rPr>
        <w:t>interaktywne oznakowanie atrakcji turystycznych.</w:t>
      </w:r>
    </w:p>
    <w:p>
      <w:pPr>
        <w:pStyle w:val="Normal"/>
        <w:spacing w:lineRule="auto" w:line="240" w:before="0" w:after="0"/>
        <w:jc w:val="both"/>
        <w:rPr>
          <w:rFonts w:ascii="Calibri" w:hAnsi="Calibri" w:eastAsia="Calibri" w:cs="Calibri"/>
          <w:lang w:eastAsia="ar-SA"/>
        </w:rPr>
      </w:pPr>
      <w:r>
        <w:rPr>
          <w:rFonts w:eastAsia="Calibri" w:cs="Calibri"/>
          <w:color w:val="000000"/>
          <w:lang w:eastAsia="pl-PL"/>
        </w:rPr>
        <w:t>4. Z</w:t>
      </w:r>
      <w:r>
        <w:rPr>
          <w:rFonts w:eastAsia="Calibri" w:cs="Times New Roman"/>
          <w:lang w:eastAsia="zh-CN"/>
        </w:rPr>
        <w:t xml:space="preserve">budowanie sieci powiązań pomiędzy instytucjami i przedsiębiorcami sektora turystycznego </w:t>
        <w:br/>
        <w:t xml:space="preserve">i około turystycznego w celu realizacji wspólnych przedsięwzięć. </w:t>
      </w:r>
    </w:p>
    <w:p>
      <w:pPr>
        <w:pStyle w:val="Normal"/>
        <w:spacing w:lineRule="auto" w:line="240" w:before="0" w:after="0"/>
        <w:rPr>
          <w:rFonts w:cs="Calibri" w:cstheme="minorHAnsi"/>
          <w:color w:val="000000" w:themeColor="text1"/>
          <w:lang w:eastAsia="pl-PL"/>
        </w:rPr>
      </w:pPr>
      <w:r>
        <w:rPr>
          <w:rFonts w:eastAsia="Calibri" w:cs="Times New Roman"/>
          <w:lang w:eastAsia="zh-CN"/>
        </w:rPr>
        <w:t>5. Włączenie obiektów i terenów zabytkowych w możliwości wykorzystania ich walorów na cele społeczne, rekreacyjne i turystyczne.</w:t>
      </w:r>
    </w:p>
    <w:p>
      <w:pPr>
        <w:pStyle w:val="Normal"/>
        <w:spacing w:lineRule="auto" w:line="240" w:before="0" w:after="0"/>
        <w:jc w:val="both"/>
        <w:rPr>
          <w:rFonts w:eastAsia="Times New Roman" w:cs="Calibri"/>
          <w:color w:val="000000"/>
          <w:lang w:eastAsia="pl-PL"/>
        </w:rPr>
      </w:pPr>
      <w:r>
        <w:rPr>
          <w:rFonts w:eastAsia="Times New Roman" w:cs="Calibri"/>
          <w:color w:val="000000"/>
          <w:lang w:eastAsia="pl-PL"/>
        </w:rPr>
        <w:t>6. Poprawa stanu pomników i miejsc pamięci.</w:t>
      </w:r>
    </w:p>
    <w:p>
      <w:pPr>
        <w:pStyle w:val="Normal"/>
        <w:spacing w:lineRule="auto" w:line="240" w:before="0" w:after="0"/>
        <w:jc w:val="both"/>
        <w:rPr>
          <w:rFonts w:eastAsia="Times New Roman" w:cs="Calibri"/>
          <w:color w:val="000000"/>
          <w:lang w:eastAsia="pl-PL"/>
        </w:rPr>
      </w:pPr>
      <w:r>
        <w:rPr>
          <w:rFonts w:eastAsia="Times New Roman" w:cs="Calibri"/>
          <w:color w:val="000000"/>
          <w:lang w:eastAsia="pl-PL"/>
        </w:rPr>
        <w:t xml:space="preserve">7. Organizacja różnego rodzaju imprez kulturalnych m.in. dożynki, </w:t>
      </w:r>
      <w:r>
        <w:rPr>
          <w:rFonts w:eastAsia="Times New Roman" w:cs="Calibri"/>
          <w:lang w:eastAsia="pl-PL"/>
        </w:rPr>
        <w:t xml:space="preserve">festiwali i prezentacji folklorystycznych, </w:t>
      </w:r>
      <w:r>
        <w:rPr>
          <w:rFonts w:eastAsia="Times New Roman" w:cs="Calibri"/>
          <w:color w:val="000000"/>
          <w:lang w:eastAsia="pl-PL"/>
        </w:rPr>
        <w:t>itp.</w:t>
      </w:r>
    </w:p>
    <w:p>
      <w:pPr>
        <w:pStyle w:val="Normal"/>
        <w:spacing w:lineRule="auto" w:line="240" w:before="0" w:after="0"/>
        <w:jc w:val="both"/>
        <w:rPr>
          <w:rFonts w:eastAsia="Times New Roman" w:cs="Calibri"/>
          <w:color w:val="000000"/>
          <w:lang w:eastAsia="pl-PL"/>
        </w:rPr>
      </w:pPr>
      <w:r>
        <w:rPr>
          <w:rFonts w:eastAsia="Times New Roman" w:cs="Calibri"/>
          <w:color w:val="000000"/>
          <w:lang w:eastAsia="pl-PL"/>
        </w:rPr>
        <w:t>8. Promocja kultury.</w:t>
      </w:r>
    </w:p>
    <w:p>
      <w:pPr>
        <w:pStyle w:val="Normal"/>
        <w:spacing w:lineRule="auto" w:line="240" w:before="0" w:after="0"/>
        <w:jc w:val="both"/>
        <w:rPr>
          <w:rFonts w:cs="Calibri"/>
          <w:color w:val="000000"/>
        </w:rPr>
      </w:pPr>
      <w:r>
        <w:rPr>
          <w:rFonts w:cs="Calibri"/>
          <w:color w:val="000000"/>
        </w:rPr>
        <w:t>9. Remont obiektów zabytkowych wpisanych do rejestru zabytków.</w:t>
      </w:r>
    </w:p>
    <w:p>
      <w:pPr>
        <w:pStyle w:val="Normal"/>
        <w:spacing w:lineRule="auto" w:line="240" w:before="0" w:after="0"/>
        <w:rPr/>
      </w:pPr>
      <w:r>
        <w:rPr/>
        <w:t>10. Automatyzacja procesów bibliotecznych w  Gminnej Bibliotece Publicznej w Dwikozach.</w:t>
      </w:r>
    </w:p>
    <w:p>
      <w:pPr>
        <w:pStyle w:val="Normal"/>
        <w:spacing w:lineRule="auto" w:line="240" w:before="0" w:after="0"/>
        <w:rPr/>
      </w:pPr>
      <w:r>
        <w:rPr/>
        <w:t>11. Utworzenie w Gminnym Ośrodku Kultury w Dwikozach specjalistycznej pracowni tzw. fab lab.</w:t>
      </w:r>
    </w:p>
    <w:p>
      <w:pPr>
        <w:pStyle w:val="Normal"/>
        <w:spacing w:lineRule="auto" w:line="240" w:before="0" w:after="0"/>
        <w:jc w:val="both"/>
        <w:rPr>
          <w:rFonts w:cs="Calibri" w:cstheme="minorHAnsi"/>
          <w:highlight w:val="yellow"/>
        </w:rPr>
      </w:pPr>
      <w:r>
        <w:rPr/>
        <w:t xml:space="preserve">12. Budowa plenerowej sceny kulturalno-edukacyjnej wraz z zapleczem technicznym dla potrzeb działalności Gminnego Ośrodka Kultury w Dwikozach. </w:t>
      </w:r>
      <w:r>
        <w:br w:type="page"/>
      </w:r>
    </w:p>
    <w:p>
      <w:pPr>
        <w:pStyle w:val="Nagwek1"/>
        <w:numPr>
          <w:ilvl w:val="0"/>
          <w:numId w:val="1"/>
        </w:numPr>
        <w:spacing w:lineRule="auto" w:line="240" w:before="0" w:after="0"/>
        <w:ind w:left="284" w:hanging="284"/>
        <w:rPr>
          <w:rFonts w:ascii="Calibri" w:hAnsi="Calibri" w:cs="Calibri" w:asciiTheme="minorHAnsi" w:cstheme="minorHAnsi" w:hAnsiTheme="minorHAnsi"/>
        </w:rPr>
      </w:pPr>
      <w:bookmarkStart w:id="94" w:name="_Toc118887455"/>
      <w:r>
        <w:rPr>
          <w:rFonts w:cs="Calibri" w:ascii="Calibri" w:hAnsi="Calibri" w:asciiTheme="minorHAnsi" w:cstheme="minorHAnsi" w:hAnsiTheme="minorHAnsi"/>
        </w:rPr>
        <w:t>Diagnoza sytuacji przestrzennej</w:t>
      </w:r>
      <w:bookmarkEnd w:id="94"/>
      <w:r>
        <w:rPr>
          <w:rFonts w:cs="Calibri" w:ascii="Calibri" w:hAnsi="Calibri" w:asciiTheme="minorHAnsi" w:cstheme="minorHAnsi" w:hAnsiTheme="minorHAnsi"/>
        </w:rPr>
        <w:t xml:space="preserve"> </w:t>
      </w:r>
    </w:p>
    <w:p>
      <w:pPr>
        <w:pStyle w:val="Normal"/>
        <w:spacing w:lineRule="auto" w:line="240"/>
        <w:rPr>
          <w:rFonts w:cs="Calibri" w:cstheme="minorHAnsi"/>
          <w:sz w:val="4"/>
          <w:szCs w:val="4"/>
        </w:rPr>
      </w:pPr>
      <w:r>
        <w:rPr>
          <w:rFonts w:cs="Calibri" w:cstheme="minorHAnsi"/>
          <w:sz w:val="4"/>
          <w:szCs w:val="4"/>
        </w:rPr>
      </w:r>
    </w:p>
    <w:p>
      <w:pPr>
        <w:pStyle w:val="Nagwek2"/>
        <w:numPr>
          <w:ilvl w:val="1"/>
          <w:numId w:val="1"/>
        </w:numPr>
        <w:spacing w:lineRule="auto" w:line="240" w:before="0" w:after="120"/>
        <w:ind w:left="426" w:hanging="432"/>
        <w:rPr>
          <w:rFonts w:ascii="Calibri" w:hAnsi="Calibri" w:cs="Calibri" w:asciiTheme="minorHAnsi" w:cstheme="minorHAnsi" w:hAnsiTheme="minorHAnsi"/>
          <w:i w:val="false"/>
          <w:i w:val="false"/>
          <w:iCs w:val="false"/>
          <w:sz w:val="32"/>
          <w:szCs w:val="32"/>
        </w:rPr>
      </w:pPr>
      <w:bookmarkStart w:id="95" w:name="_Toc118887456"/>
      <w:r>
        <w:rPr>
          <w:rFonts w:cs="Calibri" w:ascii="Calibri" w:hAnsi="Calibri" w:asciiTheme="minorHAnsi" w:cstheme="minorHAnsi" w:hAnsiTheme="minorHAnsi"/>
          <w:i w:val="false"/>
          <w:iCs w:val="false"/>
          <w:sz w:val="32"/>
          <w:szCs w:val="32"/>
        </w:rPr>
        <w:t>Położenie</w:t>
      </w:r>
      <w:bookmarkEnd w:id="95"/>
      <w:r>
        <w:rPr>
          <w:rFonts w:cs="Calibri" w:ascii="Calibri" w:hAnsi="Calibri" w:asciiTheme="minorHAnsi" w:cstheme="minorHAnsi" w:hAnsiTheme="minorHAnsi"/>
          <w:i w:val="false"/>
          <w:iCs w:val="false"/>
          <w:sz w:val="32"/>
          <w:szCs w:val="32"/>
        </w:rPr>
        <w:t xml:space="preserve"> </w:t>
      </w:r>
      <w:bookmarkEnd w:id="93"/>
    </w:p>
    <w:p>
      <w:pPr>
        <w:pStyle w:val="Normal"/>
        <w:spacing w:lineRule="auto" w:line="240" w:before="0" w:after="120"/>
        <w:ind w:left="-6" w:hanging="0"/>
        <w:jc w:val="both"/>
        <w:rPr>
          <w:rFonts w:eastAsia="Times New Roman" w:cs="Calibri" w:cstheme="minorHAnsi"/>
          <w:lang w:eastAsia="zh-CN"/>
        </w:rPr>
      </w:pPr>
      <w:bookmarkStart w:id="96" w:name="_Toc470681172"/>
      <w:r>
        <w:rPr>
          <w:rFonts w:eastAsia="Times New Roman" w:cs="Calibri" w:cstheme="minorHAnsi"/>
          <w:lang w:eastAsia="zh-CN"/>
        </w:rPr>
        <w:t xml:space="preserve">Gmina Dwikozy jest gminą wiejską o profilu warzywniczo – sadowniczym położoną w powiecie sandomierskim, we wschodniej części województwa świętokrzyskiego, w dolinie rzeki Wisły na pograniczu Kotliny Sandomierskiej i Wyżyny Kieleckiej. Przeważająca część gminy usytuowana jest na terenie Wyżyny Sandomierskiej. Wysoczyzna lessowa wznosi się na wysokości od 150 do 210 m n.p.m. </w:t>
      </w:r>
    </w:p>
    <w:p>
      <w:pPr>
        <w:pStyle w:val="Normal"/>
        <w:spacing w:lineRule="auto" w:line="240" w:before="0" w:after="120"/>
        <w:ind w:left="-6" w:hanging="0"/>
        <w:jc w:val="both"/>
        <w:rPr>
          <w:rFonts w:eastAsia="Times New Roman" w:cs="Calibri" w:cstheme="minorHAnsi"/>
          <w:lang w:eastAsia="zh-CN"/>
        </w:rPr>
      </w:pPr>
      <w:r>
        <w:rPr>
          <w:rFonts w:eastAsia="Times New Roman" w:cs="Calibri" w:cstheme="minorHAnsi"/>
          <w:lang w:eastAsia="zh-CN"/>
        </w:rPr>
        <w:t xml:space="preserve">Gmina graniczy od północy z gminami Ożarów i Zawichost, od zachodu z gminami Obrazów </w:t>
        <w:br/>
        <w:t>i Wilczyce, a od południa z gminą Sandomierz. Południowo-wschodnią granicę gminy stanowi rzeka Wisła.</w:t>
      </w:r>
      <w:r>
        <w:rPr>
          <w:rFonts w:cs="Calibri" w:cstheme="minorHAnsi"/>
        </w:rPr>
        <w:t xml:space="preserve"> </w:t>
      </w:r>
      <w:r>
        <w:rPr>
          <w:rFonts w:eastAsia="Times New Roman" w:cs="Calibri" w:cstheme="minorHAnsi"/>
          <w:lang w:eastAsia="zh-CN"/>
        </w:rPr>
        <w:t>Siedzibą gminy jest miejscowość Dwikozy, położona w centralnej części gminy na trasie Sandomierz – Lublin w odległości 7 km od Sandomierza. Gmina zajmuje 85 km² i jest zamieszkana przez ok. 8545 mieszkańców. Przez teren gminy przechodzi droga wojewódzka nr 777 oraz linia kolejowa Łódź — Dęblin.</w:t>
      </w:r>
    </w:p>
    <w:p>
      <w:pPr>
        <w:pStyle w:val="Normal"/>
        <w:spacing w:lineRule="auto" w:line="240" w:before="0" w:after="0"/>
        <w:ind w:left="-6" w:hanging="0"/>
        <w:jc w:val="both"/>
        <w:rPr>
          <w:rFonts w:eastAsia="Times New Roman" w:cs="Calibri" w:cstheme="minorHAnsi"/>
          <w:highlight w:val="yellow"/>
          <w:lang w:eastAsia="zh-CN"/>
        </w:rPr>
      </w:pPr>
      <w:r>
        <w:rPr>
          <w:rFonts w:eastAsia="Times New Roman" w:cs="Calibri" w:cstheme="minorHAnsi"/>
          <w:highlight w:val="yellow"/>
          <w:lang w:eastAsia="zh-CN"/>
        </w:rPr>
      </w:r>
    </w:p>
    <w:p>
      <w:pPr>
        <w:pStyle w:val="Caption"/>
        <w:spacing w:lineRule="auto" w:line="240" w:before="0" w:after="0"/>
        <w:jc w:val="center"/>
        <w:rPr>
          <w:rFonts w:ascii="Calibri" w:hAnsi="Calibri" w:eastAsia="SimSun" w:cs="Calibri" w:asciiTheme="minorHAnsi" w:cstheme="minorHAnsi" w:hAnsiTheme="minorHAnsi"/>
          <w:b w:val="false"/>
          <w:b w:val="false"/>
          <w:bCs w:val="false"/>
          <w:lang w:eastAsia="zh-CN"/>
        </w:rPr>
      </w:pPr>
      <w:bookmarkStart w:id="97" w:name="_Toc118887435"/>
      <w:r>
        <w:drawing>
          <wp:anchor behindDoc="0" distT="0" distB="0" distL="114300" distR="114300" simplePos="0" locked="0" layoutInCell="0" allowOverlap="1" relativeHeight="23">
            <wp:simplePos x="0" y="0"/>
            <wp:positionH relativeFrom="margin">
              <wp:posOffset>-163830</wp:posOffset>
            </wp:positionH>
            <wp:positionV relativeFrom="margin">
              <wp:posOffset>3118485</wp:posOffset>
            </wp:positionV>
            <wp:extent cx="5948680" cy="3409950"/>
            <wp:effectExtent l="0" t="0" r="0" b="0"/>
            <wp:wrapTight wrapText="bothSides">
              <wp:wrapPolygon edited="0">
                <wp:start x="-2" y="0"/>
                <wp:lineTo x="-2" y="21475"/>
                <wp:lineTo x="21507" y="21475"/>
                <wp:lineTo x="21507" y="0"/>
                <wp:lineTo x="-2" y="0"/>
              </wp:wrapPolygon>
            </wp:wrapTight>
            <wp:docPr id="18" name="Obraz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1" descr=""/>
                    <pic:cNvPicPr>
                      <a:picLocks noChangeAspect="1" noChangeArrowheads="1"/>
                    </pic:cNvPicPr>
                  </pic:nvPicPr>
                  <pic:blipFill>
                    <a:blip r:embed="rId26"/>
                    <a:srcRect l="39017" t="3206" r="0" b="0"/>
                    <a:stretch>
                      <a:fillRect/>
                    </a:stretch>
                  </pic:blipFill>
                  <pic:spPr bwMode="auto">
                    <a:xfrm>
                      <a:off x="0" y="0"/>
                      <a:ext cx="5948680" cy="3409950"/>
                    </a:xfrm>
                    <a:prstGeom prst="rect">
                      <a:avLst/>
                    </a:prstGeom>
                  </pic:spPr>
                </pic:pic>
              </a:graphicData>
            </a:graphic>
          </wp:anchor>
        </w:drawing>
      </w:r>
      <w:r>
        <w:rPr>
          <w:rFonts w:cs="Calibri" w:cstheme="minorHAnsi"/>
          <w:b w:val="false"/>
          <w:bCs w:val="false"/>
        </w:rPr>
        <w:t xml:space="preserve">Mapa </w:t>
      </w:r>
      <w:r>
        <w:rPr>
          <w:rFonts w:cs="Calibri" w:cstheme="minorHAnsi"/>
          <w:b w:val="false"/>
          <w:bCs w:val="false"/>
        </w:rPr>
        <w:fldChar w:fldCharType="begin"/>
      </w:r>
      <w:r>
        <w:rPr>
          <w:b w:val="false"/>
          <w:bCs w:val="false"/>
          <w:rFonts w:cs="Calibri"/>
        </w:rPr>
        <w:instrText xml:space="preserve"> SEQ Mapa \* ARABIC </w:instrText>
      </w:r>
      <w:r>
        <w:rPr>
          <w:b w:val="false"/>
          <w:bCs w:val="false"/>
          <w:rFonts w:cs="Calibri"/>
        </w:rPr>
        <w:fldChar w:fldCharType="separate"/>
      </w:r>
      <w:r>
        <w:rPr>
          <w:b w:val="false"/>
          <w:bCs w:val="false"/>
          <w:rFonts w:cs="Calibri"/>
        </w:rPr>
        <w:t>3</w:t>
      </w:r>
      <w:r>
        <w:rPr>
          <w:b w:val="false"/>
          <w:bCs w:val="false"/>
          <w:rFonts w:cs="Calibri"/>
        </w:rPr>
        <w:fldChar w:fldCharType="end"/>
      </w:r>
      <w:r>
        <w:rPr>
          <w:rFonts w:cs="Calibri" w:cstheme="minorHAnsi"/>
          <w:b w:val="false"/>
          <w:bCs w:val="false"/>
        </w:rPr>
        <w:t xml:space="preserve"> </w:t>
      </w:r>
      <w:r>
        <w:rPr>
          <w:rFonts w:eastAsia="SimSun" w:cs="Calibri" w:cstheme="minorHAnsi"/>
          <w:b w:val="false"/>
          <w:bCs w:val="false"/>
          <w:lang w:eastAsia="zh-CN"/>
        </w:rPr>
        <w:t>Położenie Gminy Dwikozy na tle województwa świętokrzyskiego i powiatu sandomierskiego</w:t>
      </w:r>
      <w:bookmarkEnd w:id="96"/>
      <w:bookmarkEnd w:id="97"/>
    </w:p>
    <w:p>
      <w:pPr>
        <w:pStyle w:val="Normal"/>
        <w:spacing w:lineRule="auto" w:line="240" w:before="0" w:after="0"/>
        <w:jc w:val="center"/>
        <w:rPr>
          <w:rFonts w:cs="Calibri" w:cstheme="minorHAnsi"/>
          <w:lang w:eastAsia="zh-CN"/>
        </w:rPr>
      </w:pPr>
      <w:r>
        <w:rPr>
          <w:rFonts w:cs="Calibri" w:cstheme="minorHAnsi"/>
          <w:lang w:eastAsia="zh-CN"/>
        </w:rPr>
        <w:t>Źródło: opracowanie własne</w:t>
      </w:r>
    </w:p>
    <w:p>
      <w:pPr>
        <w:pStyle w:val="Caption"/>
        <w:spacing w:lineRule="auto" w:line="240" w:before="0" w:after="0"/>
        <w:jc w:val="both"/>
        <w:rPr>
          <w:rFonts w:ascii="Calibri" w:hAnsi="Calibri" w:eastAsia="SimSun" w:cs="Calibri" w:asciiTheme="minorHAnsi" w:cstheme="minorHAnsi" w:hAnsiTheme="minorHAnsi"/>
          <w:b w:val="false"/>
          <w:b w:val="false"/>
          <w:bCs w:val="false"/>
          <w:sz w:val="22"/>
          <w:szCs w:val="22"/>
          <w:lang w:eastAsia="zh-CN"/>
        </w:rPr>
      </w:pPr>
      <w:r>
        <w:rPr>
          <w:rFonts w:eastAsia="SimSun" w:cs="Calibri" w:cstheme="minorHAnsi"/>
          <w:b w:val="false"/>
          <w:bCs w:val="false"/>
          <w:sz w:val="22"/>
          <w:szCs w:val="22"/>
          <w:lang w:eastAsia="zh-CN"/>
        </w:rPr>
      </w:r>
    </w:p>
    <w:p>
      <w:pPr>
        <w:pStyle w:val="NoSpacing"/>
        <w:jc w:val="both"/>
        <w:rPr>
          <w:rFonts w:ascii="Calibri" w:hAnsi="Calibri" w:eastAsia="SimSun" w:cs="Calibri" w:asciiTheme="minorHAnsi" w:cstheme="minorHAnsi" w:hAnsiTheme="minorHAnsi"/>
          <w:lang w:eastAsia="zh-CN"/>
        </w:rPr>
      </w:pPr>
      <w:bookmarkStart w:id="98" w:name="_Hlk118737349"/>
      <w:r>
        <w:rPr>
          <w:rFonts w:eastAsia="SimSun" w:cs="Calibri" w:cstheme="minorHAnsi"/>
          <w:lang w:eastAsia="zh-CN"/>
        </w:rPr>
        <w:t xml:space="preserve">Gmina podzielona jest na 23 sołectwa: Bożydar, Buczek, Czermin, Dwikozy, Gałkowice, Gierlachów, Góry Wysokie, Kamień Łukawski, Kępa Chwałowska, Kolonia Gałkowice, Mściów, Nowe Kichary, Nowy Garbów, Nowy Kamień, Romanówka, Rzeczyca Mokra, Rzeczyca Sucha, Słupcza, Stare Kichary, Stary Garbów, Szczytniki, Winiarki, Winiary. </w:t>
      </w:r>
      <w:bookmarkEnd w:id="98"/>
      <w:r>
        <w:rPr>
          <w:rFonts w:eastAsia="SimSun" w:cs="Calibri" w:cstheme="minorHAnsi"/>
          <w:lang w:eastAsia="zh-CN"/>
        </w:rPr>
        <w:t>Miejscowości pokrywają się terytorialnie z sołectwami – pomocniczymi jednostkami samorządu terytorialnego – poza sołectwem Romanówka, która podzielona jest na dwie miejscowości: Romanówka i Jaroszówka.</w:t>
      </w:r>
    </w:p>
    <w:p>
      <w:pPr>
        <w:pStyle w:val="NoSpacing"/>
        <w:jc w:val="both"/>
        <w:rPr>
          <w:rFonts w:ascii="Calibri" w:hAnsi="Calibri" w:eastAsia="SimSun" w:cs="Calibri" w:asciiTheme="minorHAnsi" w:cstheme="minorHAnsi" w:hAnsiTheme="minorHAnsi"/>
          <w:lang w:eastAsia="zh-CN"/>
        </w:rPr>
      </w:pPr>
      <w:r>
        <w:rPr>
          <w:rFonts w:eastAsia="SimSun" w:cs="Calibri" w:cstheme="minorHAnsi"/>
          <w:lang w:eastAsia="zh-CN"/>
        </w:rPr>
      </w:r>
    </w:p>
    <w:p>
      <w:pPr>
        <w:pStyle w:val="NoSpacing"/>
        <w:rPr/>
      </w:pPr>
      <w:r>
        <w:rPr/>
        <w:t>Powierzchnia poszczególnych sołectw kształtuje się następująco:</w:t>
      </w:r>
    </w:p>
    <w:p>
      <w:pPr>
        <w:pStyle w:val="Normal"/>
        <w:rPr>
          <w:rFonts w:ascii="Calibri" w:hAnsi="Calibri" w:eastAsia="Times New Roman" w:cs="Calibri"/>
          <w:b/>
          <w:b/>
          <w:bCs/>
        </w:rPr>
      </w:pPr>
      <w:r>
        <w:rPr>
          <w:rFonts w:eastAsia="Times New Roman" w:cs="Calibri"/>
          <w:b/>
          <w:bCs/>
        </w:rPr>
      </w:r>
      <w:r>
        <w:br w:type="page"/>
      </w:r>
    </w:p>
    <w:p>
      <w:pPr>
        <w:pStyle w:val="Caption"/>
        <w:jc w:val="center"/>
        <w:rPr>
          <w:rFonts w:eastAsia="Times New Roman" w:cs="Calibri"/>
          <w:b w:val="false"/>
          <w:b w:val="false"/>
          <w:bCs w:val="false"/>
          <w:sz w:val="22"/>
          <w:szCs w:val="22"/>
        </w:rPr>
      </w:pPr>
      <w:bookmarkStart w:id="99" w:name="_Toc118887761"/>
      <w:r>
        <w:rPr>
          <w:b w:val="false"/>
          <w:bCs w:val="false"/>
        </w:rPr>
        <w:t xml:space="preserve">Tabela </w:t>
      </w:r>
      <w:r>
        <w:rPr>
          <w:b w:val="false"/>
          <w:bCs w:val="false"/>
        </w:rPr>
        <w:fldChar w:fldCharType="begin"/>
      </w:r>
      <w:r>
        <w:rPr>
          <w:b w:val="false"/>
          <w:bCs w:val="false"/>
        </w:rPr>
        <w:instrText xml:space="preserve"> SEQ Tabela \* ARABIC </w:instrText>
      </w:r>
      <w:r>
        <w:rPr>
          <w:b w:val="false"/>
          <w:bCs w:val="false"/>
        </w:rPr>
        <w:fldChar w:fldCharType="separate"/>
      </w:r>
      <w:r>
        <w:rPr>
          <w:b w:val="false"/>
          <w:bCs w:val="false"/>
        </w:rPr>
        <w:t>12</w:t>
      </w:r>
      <w:r>
        <w:rPr>
          <w:b w:val="false"/>
          <w:bCs w:val="false"/>
        </w:rPr>
        <w:fldChar w:fldCharType="end"/>
      </w:r>
      <w:r>
        <w:rPr>
          <w:b w:val="false"/>
          <w:bCs w:val="false"/>
        </w:rPr>
        <w:t xml:space="preserve"> Powierzchnia poszczególnych sołectw</w:t>
      </w:r>
      <w:bookmarkEnd w:id="99"/>
    </w:p>
    <w:tbl>
      <w:tblPr>
        <w:tblW w:w="547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18"/>
        <w:gridCol w:w="2411"/>
        <w:gridCol w:w="2545"/>
      </w:tblGrid>
      <w:tr>
        <w:trPr>
          <w:trHeight w:val="900" w:hRule="atLeast"/>
        </w:trPr>
        <w:tc>
          <w:tcPr>
            <w:tcW w:w="518"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before="0" w:after="160"/>
              <w:jc w:val="center"/>
              <w:rPr>
                <w:rFonts w:ascii="Calibri" w:hAnsi="Calibri" w:eastAsia="Times New Roman" w:cs="Calibri"/>
                <w:color w:val="000000"/>
              </w:rPr>
            </w:pPr>
            <w:r>
              <w:rPr>
                <w:rFonts w:eastAsia="Times New Roman" w:cs="Calibri"/>
                <w:color w:val="000000"/>
              </w:rPr>
              <w:t>L.p.</w:t>
            </w:r>
          </w:p>
        </w:tc>
        <w:tc>
          <w:tcPr>
            <w:tcW w:w="241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Sołectwo</w:t>
            </w:r>
          </w:p>
        </w:tc>
        <w:tc>
          <w:tcPr>
            <w:tcW w:w="2545"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Powierzchnia sołectwa w ha</w:t>
            </w:r>
          </w:p>
        </w:tc>
      </w:tr>
      <w:tr>
        <w:trPr>
          <w:trHeight w:val="77"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Buczek</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310</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2.</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Bożydar</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144</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3.</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Czermin</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382</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4.</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Dwikozy</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703</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5.</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Gałkowice</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342</w:t>
            </w:r>
          </w:p>
        </w:tc>
      </w:tr>
      <w:tr>
        <w:trPr>
          <w:trHeight w:val="131"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6.</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Kolonia Gałkowice</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120</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7.</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Nowy Garbów</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243</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8.</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Stary Garbów</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351</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9.</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Gierlachów</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301</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10.</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Góry Wysokie</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532</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11.</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Kamień Łukawski</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151</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12.</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Nowy Kamień</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392</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13.</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Nowe Kichary</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401</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14.</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Stare Kichary</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266</w:t>
            </w:r>
          </w:p>
        </w:tc>
      </w:tr>
      <w:tr>
        <w:trPr>
          <w:trHeight w:val="7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15.</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Kępa Chwałowska</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105</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16.</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Mściów</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554</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17.</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Romanówka</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412,52</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18.</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Rzeczyca Mokra</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310</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19.</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Rzeczyca Sucha</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210</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20.</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Słupcza</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773</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21.</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Szczytniki</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443</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22.</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Winiarki</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278</w:t>
            </w:r>
          </w:p>
        </w:tc>
      </w:tr>
      <w:tr>
        <w:trPr>
          <w:trHeight w:val="300" w:hRule="atLeast"/>
        </w:trPr>
        <w:tc>
          <w:tcPr>
            <w:tcW w:w="518"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23.</w:t>
            </w:r>
          </w:p>
        </w:tc>
        <w:tc>
          <w:tcPr>
            <w:tcW w:w="2411"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Winiary</w:t>
            </w:r>
          </w:p>
        </w:tc>
        <w:tc>
          <w:tcPr>
            <w:tcW w:w="2545" w:type="dxa"/>
            <w:tcBorders>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656</w:t>
            </w:r>
          </w:p>
        </w:tc>
      </w:tr>
      <w:tr>
        <w:trPr>
          <w:trHeight w:val="300" w:hRule="atLeast"/>
        </w:trPr>
        <w:tc>
          <w:tcPr>
            <w:tcW w:w="518"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24.</w:t>
            </w:r>
          </w:p>
        </w:tc>
        <w:tc>
          <w:tcPr>
            <w:tcW w:w="241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Jaroszówka</w:t>
            </w:r>
          </w:p>
        </w:tc>
        <w:tc>
          <w:tcPr>
            <w:tcW w:w="254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before="0" w:after="160"/>
              <w:jc w:val="center"/>
              <w:rPr>
                <w:rFonts w:eastAsia="Times New Roman" w:cs="Calibri"/>
                <w:color w:val="000000"/>
              </w:rPr>
            </w:pPr>
            <w:r>
              <w:rPr>
                <w:rFonts w:eastAsia="Times New Roman" w:cs="Calibri"/>
                <w:color w:val="000000"/>
              </w:rPr>
              <w:t>100,48</w:t>
            </w:r>
          </w:p>
        </w:tc>
      </w:tr>
      <w:tr>
        <w:trPr>
          <w:trHeight w:val="300" w:hRule="atLeast"/>
        </w:trPr>
        <w:tc>
          <w:tcPr>
            <w:tcW w:w="518" w:type="dxa"/>
            <w:tcBorders/>
            <w:vAlign w:val="bottom"/>
          </w:tcPr>
          <w:p>
            <w:pPr>
              <w:pStyle w:val="Normal"/>
              <w:widowControl w:val="false"/>
              <w:spacing w:before="0" w:after="160"/>
              <w:rPr>
                <w:rFonts w:eastAsia="Times New Roman" w:cs="Calibri"/>
                <w:color w:val="000000"/>
              </w:rPr>
            </w:pPr>
            <w:r>
              <w:rPr>
                <w:rFonts w:eastAsia="Times New Roman" w:cs="Calibri"/>
                <w:color w:val="000000"/>
              </w:rPr>
            </w:r>
          </w:p>
        </w:tc>
        <w:tc>
          <w:tcPr>
            <w:tcW w:w="2411" w:type="dxa"/>
            <w:tcBorders>
              <w:left w:val="single" w:sz="4" w:space="0" w:color="000000"/>
              <w:bottom w:val="single" w:sz="4" w:space="0" w:color="000000"/>
              <w:right w:val="single" w:sz="4" w:space="0" w:color="000000"/>
            </w:tcBorders>
            <w:vAlign w:val="center"/>
          </w:tcPr>
          <w:p>
            <w:pPr>
              <w:pStyle w:val="Normal"/>
              <w:widowControl w:val="false"/>
              <w:spacing w:before="0" w:after="160"/>
              <w:jc w:val="center"/>
              <w:rPr>
                <w:rFonts w:eastAsia="Times New Roman" w:cs="Calibri"/>
                <w:color w:val="000000"/>
              </w:rPr>
            </w:pPr>
            <w:r>
              <w:rPr>
                <w:rFonts w:eastAsia="Times New Roman" w:cs="Calibri"/>
                <w:color w:val="000000"/>
              </w:rPr>
              <w:t>Razem</w:t>
            </w:r>
          </w:p>
        </w:tc>
        <w:tc>
          <w:tcPr>
            <w:tcW w:w="2545" w:type="dxa"/>
            <w:tcBorders>
              <w:bottom w:val="single" w:sz="4" w:space="0" w:color="000000"/>
              <w:right w:val="single" w:sz="4" w:space="0" w:color="000000"/>
            </w:tcBorders>
            <w:vAlign w:val="bottom"/>
          </w:tcPr>
          <w:p>
            <w:pPr>
              <w:pStyle w:val="Normal"/>
              <w:widowControl w:val="false"/>
              <w:spacing w:before="0" w:after="160"/>
              <w:jc w:val="center"/>
              <w:rPr>
                <w:rFonts w:eastAsia="Times New Roman" w:cs="Calibri"/>
                <w:color w:val="000000"/>
              </w:rPr>
            </w:pPr>
            <w:r>
              <w:rPr>
                <w:rFonts w:eastAsia="Times New Roman" w:cs="Calibri"/>
                <w:color w:val="000000"/>
              </w:rPr>
              <w:t>8480</w:t>
            </w:r>
          </w:p>
        </w:tc>
      </w:tr>
    </w:tbl>
    <w:p>
      <w:pPr>
        <w:pStyle w:val="NoSpacing"/>
        <w:jc w:val="center"/>
        <w:rPr>
          <w:rFonts w:ascii="Calibri" w:hAnsi="Calibri" w:cs="Calibri" w:asciiTheme="minorHAnsi" w:cstheme="minorHAnsi" w:hAnsiTheme="minorHAnsi"/>
          <w:color w:val="000000" w:themeColor="text1"/>
        </w:rPr>
      </w:pPr>
      <w:r>
        <w:rPr>
          <w:rFonts w:cs="Calibri" w:cstheme="minorHAnsi"/>
          <w:color w:val="000000" w:themeColor="text1"/>
        </w:rPr>
        <w:t>Źródło: Urząd Gminy w Dwikozach</w:t>
      </w:r>
    </w:p>
    <w:p>
      <w:pPr>
        <w:pStyle w:val="Normal"/>
        <w:jc w:val="center"/>
        <w:rPr>
          <w:rFonts w:eastAsia="Calibri" w:cs="Calibri" w:cstheme="minorHAnsi"/>
          <w:color w:val="000000" w:themeColor="text1"/>
          <w:highlight w:val="yellow"/>
        </w:rPr>
      </w:pPr>
      <w:r>
        <w:rPr>
          <w:rFonts w:eastAsia="Calibri" w:cs="Calibri" w:cstheme="minorHAnsi"/>
          <w:color w:val="000000" w:themeColor="text1"/>
          <w:highlight w:val="yellow"/>
        </w:rPr>
      </w:r>
      <w:r>
        <w:br w:type="page"/>
      </w:r>
    </w:p>
    <w:p>
      <w:pPr>
        <w:pStyle w:val="NoSpacing"/>
        <w:jc w:val="both"/>
        <w:rPr>
          <w:rFonts w:ascii="Calibri" w:hAnsi="Calibri" w:cs="Calibri" w:asciiTheme="minorHAnsi" w:cstheme="minorHAnsi" w:hAnsiTheme="minorHAnsi"/>
          <w:color w:val="FF0000"/>
          <w:highlight w:val="yellow"/>
        </w:rPr>
      </w:pPr>
      <w:r>
        <w:rPr>
          <w:rFonts w:cs="Calibri" w:cstheme="minorHAnsi"/>
          <w:color w:val="FF0000"/>
          <w:highlight w:val="yellow"/>
        </w:rPr>
      </w:r>
    </w:p>
    <w:p>
      <w:pPr>
        <w:pStyle w:val="Nagwek2"/>
        <w:numPr>
          <w:ilvl w:val="1"/>
          <w:numId w:val="1"/>
        </w:numPr>
        <w:spacing w:lineRule="auto" w:line="240" w:before="120" w:after="120"/>
        <w:ind w:left="426" w:hanging="432"/>
        <w:rPr>
          <w:rFonts w:ascii="Calibri" w:hAnsi="Calibri" w:cs="Calibri" w:asciiTheme="minorHAnsi" w:cstheme="minorHAnsi" w:hAnsiTheme="minorHAnsi"/>
          <w:i w:val="false"/>
          <w:i w:val="false"/>
          <w:iCs w:val="false"/>
          <w:sz w:val="32"/>
          <w:szCs w:val="32"/>
        </w:rPr>
      </w:pPr>
      <w:r>
        <w:rPr>
          <w:rFonts w:cs="Calibri" w:ascii="Calibri" w:hAnsi="Calibri" w:asciiTheme="minorHAnsi" w:cstheme="minorHAnsi" w:hAnsiTheme="minorHAnsi"/>
          <w:i w:val="false"/>
          <w:iCs w:val="false"/>
          <w:sz w:val="32"/>
          <w:szCs w:val="32"/>
        </w:rPr>
        <w:t xml:space="preserve"> </w:t>
      </w:r>
      <w:bookmarkStart w:id="100" w:name="_Toc118887457"/>
      <w:r>
        <w:rPr>
          <w:rFonts w:cs="Calibri" w:ascii="Calibri" w:hAnsi="Calibri" w:asciiTheme="minorHAnsi" w:cstheme="minorHAnsi" w:hAnsiTheme="minorHAnsi"/>
          <w:i w:val="false"/>
          <w:iCs w:val="false"/>
          <w:sz w:val="32"/>
          <w:szCs w:val="32"/>
        </w:rPr>
        <w:t>Dostęp do internetu oraz usługi świadczone elektroniczne</w:t>
      </w:r>
      <w:bookmarkEnd w:id="100"/>
      <w:r>
        <w:rPr>
          <w:rFonts w:cs="Calibri" w:ascii="Calibri" w:hAnsi="Calibri" w:asciiTheme="minorHAnsi" w:cstheme="minorHAnsi" w:hAnsiTheme="minorHAnsi"/>
          <w:i w:val="false"/>
          <w:iCs w:val="false"/>
          <w:sz w:val="32"/>
          <w:szCs w:val="32"/>
        </w:rPr>
        <w:t xml:space="preserve"> </w:t>
      </w:r>
    </w:p>
    <w:p>
      <w:pPr>
        <w:pStyle w:val="NoSpacing"/>
        <w:spacing w:before="120" w:after="120"/>
        <w:jc w:val="both"/>
        <w:rPr>
          <w:rFonts w:ascii="Calibri" w:hAnsi="Calibri" w:cs="Calibri" w:asciiTheme="minorHAnsi" w:cstheme="minorHAnsi" w:hAnsiTheme="minorHAnsi"/>
        </w:rPr>
      </w:pPr>
      <w:r>
        <w:rPr>
          <w:rFonts w:cs="Calibri" w:cstheme="minorHAnsi"/>
        </w:rPr>
        <w:t xml:space="preserve">W całej Gminie Dwikozy jest dostęp do internetu, który dostarczają prywatni dostawcy. Jakość internetu jest dobra. Część mieszkańców ma dostęp do szybkiego internetu szerokopasmowego. </w:t>
      </w:r>
    </w:p>
    <w:p>
      <w:pPr>
        <w:pStyle w:val="NoSpacing"/>
        <w:jc w:val="both"/>
        <w:rPr>
          <w:rFonts w:ascii="Calibri" w:hAnsi="Calibri" w:cs="Calibri" w:asciiTheme="minorHAnsi" w:cstheme="minorHAnsi" w:hAnsiTheme="minorHAnsi"/>
          <w:color w:val="000000" w:themeColor="text1"/>
        </w:rPr>
      </w:pPr>
      <w:r>
        <w:rPr>
          <w:rFonts w:cs="Calibri" w:cstheme="minorHAnsi"/>
          <w:color w:val="000000" w:themeColor="text1"/>
        </w:rPr>
        <w:t>Urząd Gminy w Dwikozach systematycznie rozwija zakres usług świadczonych elektroniczne.  Zidentyfikowane potrzeby w tym zakresie dotyczą:</w:t>
      </w:r>
    </w:p>
    <w:p>
      <w:pPr>
        <w:pStyle w:val="NoSpacing"/>
        <w:ind w:left="284" w:hanging="284"/>
        <w:jc w:val="both"/>
        <w:rPr>
          <w:rFonts w:ascii="Calibri" w:hAnsi="Calibri" w:eastAsia="Times New Roman" w:cs="Calibri" w:asciiTheme="minorHAnsi" w:cstheme="minorHAnsi" w:hAnsiTheme="minorHAnsi"/>
          <w:color w:val="000000" w:themeColor="text1"/>
          <w:lang w:eastAsia="pl-PL"/>
        </w:rPr>
      </w:pPr>
      <w:bookmarkStart w:id="101" w:name="_Hlk95465203"/>
      <w:r>
        <w:rPr>
          <w:rFonts w:eastAsia="Times New Roman" w:cs="Calibri" w:cstheme="minorHAnsi"/>
          <w:color w:val="000000" w:themeColor="text1"/>
          <w:lang w:eastAsia="pl-PL"/>
        </w:rPr>
        <w:t>1) wymiana wodomierzy na system zdalnego odczytu,</w:t>
      </w:r>
    </w:p>
    <w:p>
      <w:pPr>
        <w:pStyle w:val="NoSpacing"/>
        <w:ind w:left="284" w:hanging="284"/>
        <w:jc w:val="both"/>
        <w:rPr>
          <w:rFonts w:ascii="Calibri" w:hAnsi="Calibri" w:cs="Calibri" w:asciiTheme="minorHAnsi" w:cstheme="minorHAnsi" w:hAnsiTheme="minorHAnsi"/>
          <w:color w:val="000000" w:themeColor="text1"/>
        </w:rPr>
      </w:pPr>
      <w:r>
        <w:rPr>
          <w:rFonts w:eastAsia="Times New Roman" w:cs="Calibri" w:cstheme="minorHAnsi"/>
          <w:color w:val="000000" w:themeColor="text1"/>
          <w:lang w:eastAsia="pl-PL"/>
        </w:rPr>
        <w:t>2) e-administracja - Cyfrowy urząd (wykorzystanie nowych technologii, m.in. chmury danych),</w:t>
      </w:r>
    </w:p>
    <w:p>
      <w:pPr>
        <w:pStyle w:val="NoSpacing"/>
        <w:ind w:left="284" w:hanging="284"/>
        <w:jc w:val="both"/>
        <w:rPr>
          <w:rFonts w:ascii="Calibri" w:hAnsi="Calibri" w:cs="Calibri" w:asciiTheme="minorHAnsi" w:cstheme="minorHAnsi" w:hAnsiTheme="minorHAnsi"/>
          <w:color w:val="000000" w:themeColor="text1"/>
        </w:rPr>
      </w:pPr>
      <w:r>
        <w:rPr>
          <w:rFonts w:cs="Calibri" w:cstheme="minorHAnsi"/>
          <w:color w:val="000000" w:themeColor="text1"/>
        </w:rPr>
        <w:t>3) rozbudowa internetu szerokopasmowego,</w:t>
      </w:r>
    </w:p>
    <w:p>
      <w:pPr>
        <w:pStyle w:val="NoSpacing"/>
        <w:ind w:left="284" w:hanging="284"/>
        <w:jc w:val="both"/>
        <w:rPr>
          <w:rFonts w:ascii="Calibri" w:hAnsi="Calibri" w:cs="Calibri" w:asciiTheme="minorHAnsi" w:cstheme="minorHAnsi" w:hAnsiTheme="minorHAnsi"/>
          <w:color w:val="000000" w:themeColor="text1"/>
        </w:rPr>
      </w:pPr>
      <w:bookmarkStart w:id="102" w:name="_Hlk95465203"/>
      <w:r>
        <w:rPr>
          <w:rFonts w:cs="Calibri" w:cstheme="minorHAnsi"/>
          <w:color w:val="000000" w:themeColor="text1"/>
        </w:rPr>
        <w:t>4) rozwój e-zdrowia – przedsięwzięcia realizowane przez POZ.</w:t>
      </w:r>
      <w:bookmarkEnd w:id="102"/>
    </w:p>
    <w:p>
      <w:pPr>
        <w:pStyle w:val="NoSpacing"/>
        <w:jc w:val="both"/>
        <w:rPr>
          <w:rFonts w:ascii="Calibri" w:hAnsi="Calibri" w:cs="Calibri" w:asciiTheme="minorHAnsi" w:cstheme="minorHAnsi" w:hAnsiTheme="minorHAnsi"/>
          <w:color w:val="000000" w:themeColor="text1"/>
          <w:highlight w:val="yellow"/>
        </w:rPr>
      </w:pPr>
      <w:r>
        <w:rPr>
          <w:rFonts w:cs="Calibri" w:cstheme="minorHAnsi"/>
          <w:color w:val="000000" w:themeColor="text1"/>
          <w:highlight w:val="yellow"/>
        </w:rPr>
      </w:r>
    </w:p>
    <w:p>
      <w:pPr>
        <w:pStyle w:val="Nagwek2"/>
        <w:numPr>
          <w:ilvl w:val="1"/>
          <w:numId w:val="1"/>
        </w:numPr>
        <w:spacing w:lineRule="auto" w:line="240" w:before="0" w:after="120"/>
        <w:ind w:left="426" w:hanging="432"/>
        <w:rPr>
          <w:rFonts w:ascii="Calibri" w:hAnsi="Calibri" w:cs="Calibri" w:asciiTheme="minorHAnsi" w:cstheme="minorHAnsi" w:hAnsiTheme="minorHAnsi"/>
          <w:i w:val="false"/>
          <w:i w:val="false"/>
          <w:iCs w:val="false"/>
          <w:sz w:val="32"/>
          <w:szCs w:val="32"/>
        </w:rPr>
      </w:pPr>
      <w:r>
        <w:rPr>
          <w:rFonts w:cs="Calibri" w:ascii="Calibri" w:hAnsi="Calibri" w:asciiTheme="minorHAnsi" w:cstheme="minorHAnsi" w:hAnsiTheme="minorHAnsi"/>
          <w:i w:val="false"/>
          <w:iCs w:val="false"/>
          <w:sz w:val="32"/>
          <w:szCs w:val="32"/>
        </w:rPr>
        <w:t xml:space="preserve"> </w:t>
      </w:r>
      <w:bookmarkStart w:id="103" w:name="_Toc118887458"/>
      <w:r>
        <w:rPr>
          <w:rFonts w:cs="Calibri" w:ascii="Calibri" w:hAnsi="Calibri" w:asciiTheme="minorHAnsi" w:cstheme="minorHAnsi" w:hAnsiTheme="minorHAnsi"/>
          <w:i w:val="false"/>
          <w:iCs w:val="false"/>
          <w:sz w:val="32"/>
          <w:szCs w:val="32"/>
        </w:rPr>
        <w:t>Infrastruktura drogowa</w:t>
      </w:r>
      <w:bookmarkStart w:id="104" w:name="_Toc69212079"/>
      <w:bookmarkEnd w:id="103"/>
    </w:p>
    <w:p>
      <w:pPr>
        <w:pStyle w:val="Normal"/>
        <w:spacing w:lineRule="auto" w:line="240" w:before="0" w:after="120"/>
        <w:jc w:val="both"/>
        <w:rPr>
          <w:rFonts w:cs="Calibri" w:cstheme="minorHAnsi"/>
        </w:rPr>
      </w:pPr>
      <w:bookmarkStart w:id="105" w:name="_Toc436987126"/>
      <w:bookmarkEnd w:id="104"/>
      <w:r>
        <w:rPr>
          <w:rFonts w:cs="Calibri" w:cstheme="minorHAnsi"/>
        </w:rPr>
        <w:t>Gmina Dwikozy położona jest w pobliżu węzła komunikacyjnego o znaczeniu międzyregionalnym zlokalizowanym w Sandomierzu i powiązanym z drogą wojewódzką nr 777. Przez węzeł ten gmina łączy się z:</w:t>
      </w:r>
    </w:p>
    <w:p>
      <w:pPr>
        <w:pStyle w:val="ListParagraph"/>
        <w:numPr>
          <w:ilvl w:val="0"/>
          <w:numId w:val="29"/>
        </w:numPr>
        <w:spacing w:lineRule="auto" w:line="240" w:before="0" w:after="0"/>
        <w:contextualSpacing/>
        <w:jc w:val="both"/>
        <w:rPr>
          <w:rFonts w:ascii="Calibri" w:hAnsi="Calibri" w:cs="Calibri" w:asciiTheme="minorHAnsi" w:cstheme="minorHAnsi" w:hAnsiTheme="minorHAnsi"/>
        </w:rPr>
      </w:pPr>
      <w:r>
        <w:rPr>
          <w:rFonts w:cs="Calibri" w:cstheme="minorHAnsi"/>
        </w:rPr>
        <w:t xml:space="preserve">drogą krajową nr 77 łączącą Sandomierz z Przemyślem, Kielcami, Łodzią, Katowicami </w:t>
        <w:br/>
        <w:t>i zachodnimi terenami Polski,</w:t>
      </w:r>
    </w:p>
    <w:p>
      <w:pPr>
        <w:pStyle w:val="ListParagraph"/>
        <w:numPr>
          <w:ilvl w:val="0"/>
          <w:numId w:val="29"/>
        </w:numPr>
        <w:spacing w:lineRule="auto" w:line="240" w:before="0" w:after="0"/>
        <w:contextualSpacing/>
        <w:jc w:val="both"/>
        <w:rPr>
          <w:rFonts w:ascii="Calibri" w:hAnsi="Calibri" w:cs="Calibri" w:asciiTheme="minorHAnsi" w:cstheme="minorHAnsi" w:hAnsiTheme="minorHAnsi"/>
        </w:rPr>
      </w:pPr>
      <w:r>
        <w:rPr>
          <w:rFonts w:cs="Calibri" w:cstheme="minorHAnsi"/>
        </w:rPr>
        <w:t>drogą krajową nr 79 Warszawa – Sandomierz – Kraków – Bytom.</w:t>
      </w:r>
    </w:p>
    <w:p>
      <w:pPr>
        <w:pStyle w:val="Normal"/>
        <w:spacing w:lineRule="auto" w:line="240" w:before="0" w:after="0"/>
        <w:jc w:val="both"/>
        <w:rPr>
          <w:rFonts w:cs="Calibri" w:cstheme="minorHAnsi"/>
          <w:highlight w:val="yellow"/>
        </w:rPr>
      </w:pPr>
      <w:r>
        <w:rPr>
          <w:rFonts w:cs="Calibri" w:cstheme="minorHAnsi"/>
          <w:highlight w:val="yellow"/>
        </w:rPr>
      </w:r>
    </w:p>
    <w:p>
      <w:pPr>
        <w:pStyle w:val="Normal"/>
        <w:spacing w:lineRule="auto" w:line="240" w:before="0" w:after="0"/>
        <w:jc w:val="both"/>
        <w:rPr>
          <w:rFonts w:cs="Calibri" w:cstheme="minorHAnsi"/>
        </w:rPr>
      </w:pPr>
      <w:r>
        <w:rPr>
          <w:rFonts w:cs="Calibri" w:cstheme="minorHAnsi"/>
        </w:rPr>
        <w:t xml:space="preserve">DK 79 (z pominięciem węzła sandomierskiego) łączy również gminę z Warszawą oraz północnymi obszarami Polski. Drogą nr 777 oraz krajową nr 74 Sulejów – Kielce – Kraśnik – Zamość –gran. państwa gmina uzyskuje połączenie z Lublinem i wschodem kraju.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Połączenia z najbliższymi ośrodkami powiatowymi (Sandomierzem, Tarnobrzegiem, Opatowem, Ostrowcem Św., Kraśnikiem) odbywają się poprzez drogę wojewódzką nr 777, drogami krajowymi, </w:t>
        <w:br/>
        <w:t xml:space="preserve">a z Ostrowcem Św. alternatywnie drogą wojewódzką nr 755 Ostrowiec Św. – Zawichost. Połączenie </w:t>
        <w:br/>
        <w:t>z Tarnobrzegiem, dawnym ośrodkiem wojewódzkim odbywa się przez Sandomierz drogą wojewódzką nr 723 Sandomierz – Tarnobrzeg. Połączenia te, prowadzone są trasami o odpowiednich dla ruchu parametrach, wymagającymi w najbliższym czasie, poza przebiegami przez miasta, tylko niewielkich modernizacji. Najdogodniejsze połączenia z sąsiednimi ośrodkami gminnymi odbywają się następującymi drogami publicznymi:</w:t>
      </w:r>
    </w:p>
    <w:p>
      <w:pPr>
        <w:pStyle w:val="ListParagraph"/>
        <w:numPr>
          <w:ilvl w:val="0"/>
          <w:numId w:val="30"/>
        </w:numPr>
        <w:spacing w:lineRule="auto" w:line="240" w:before="0" w:after="0"/>
        <w:contextualSpacing/>
        <w:jc w:val="both"/>
        <w:rPr>
          <w:rFonts w:ascii="Calibri" w:hAnsi="Calibri" w:cs="Calibri" w:asciiTheme="minorHAnsi" w:cstheme="minorHAnsi" w:hAnsiTheme="minorHAnsi"/>
        </w:rPr>
      </w:pPr>
      <w:r>
        <w:rPr>
          <w:rFonts w:cs="Calibri" w:cstheme="minorHAnsi"/>
        </w:rPr>
        <w:t xml:space="preserve">wojewódzką nr 777 z Sandomierzem i Zawichostem, </w:t>
      </w:r>
    </w:p>
    <w:p>
      <w:pPr>
        <w:pStyle w:val="ListParagraph"/>
        <w:numPr>
          <w:ilvl w:val="0"/>
          <w:numId w:val="30"/>
        </w:numPr>
        <w:spacing w:lineRule="auto" w:line="240" w:before="0" w:after="0"/>
        <w:contextualSpacing/>
        <w:jc w:val="both"/>
        <w:rPr>
          <w:rFonts w:ascii="Calibri" w:hAnsi="Calibri" w:cs="Calibri" w:asciiTheme="minorHAnsi" w:cstheme="minorHAnsi" w:hAnsiTheme="minorHAnsi"/>
        </w:rPr>
      </w:pPr>
      <w:r>
        <w:rPr>
          <w:rFonts w:cs="Calibri" w:cstheme="minorHAnsi"/>
        </w:rPr>
        <w:t>powiatową nr 0752 T z Wilczycami, a poprzez krajową nr 79 z Ożarowem.</w:t>
      </w:r>
    </w:p>
    <w:p>
      <w:pPr>
        <w:pStyle w:val="Normal"/>
        <w:spacing w:lineRule="auto" w:line="240" w:before="0" w:after="0"/>
        <w:jc w:val="both"/>
        <w:rPr>
          <w:rFonts w:cs="Calibri" w:cstheme="minorHAnsi"/>
        </w:rPr>
      </w:pPr>
      <w:bookmarkStart w:id="106" w:name="_Hlk118789412"/>
      <w:r>
        <w:rPr>
          <w:rFonts w:cs="Calibri" w:cstheme="minorHAnsi"/>
        </w:rPr>
        <w:t xml:space="preserve">Miejscowości położone na obszarze gminy są dobrze powiązane z ośrodkiem gminnym – Dwikozami, na ogół drogą wojewódzką i siecią dróg powiatowych o nawierzchniach bitumicznych. Bezpośrednie połączenie drogą wojewódzką mają sołectwa Gierlachów, Słupcza, Winiary, Winiarki. Połączenie przez drogę powiatową i wojewódzką posiadają sołectwa Czermin, Nowy Garbów, Romanówka, Buczek, Kępa Chwałowska, Rzeczyca Mokra, Rzeczyca Sucha, Mściów, Nowy Kamień, Kamień Łukawski. Pozostałe sołectwa mają bezpośrednie połączenia z Dwikozami drogami powiatowymi lub gminnymi. </w:t>
      </w:r>
      <w:bookmarkEnd w:id="106"/>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bookmarkStart w:id="107" w:name="_Hlk118789508"/>
      <w:r>
        <w:rPr>
          <w:rFonts w:cs="Calibri" w:cstheme="minorHAnsi"/>
        </w:rPr>
        <w:t xml:space="preserve">Wszystkie sołectwa położone są w 15 - to minutowej strefie dojazdu samochodem osobowym do centrum administracyjno-usługowego gminy w Dwikozach. Bliżej położone sołectwa; Bożydar, Rzeczyca Mokra, Rzeczyca Sucha, Gierlachów, Słupcza, Góry Wysokie, Mściów, Szczytniki, Winiarki, Winiary, Nowe Kichary, znajdują się w strefie 5- cio minutowej (ok.77% ludności gminy). </w:t>
      </w:r>
      <w:bookmarkEnd w:id="107"/>
    </w:p>
    <w:p>
      <w:pPr>
        <w:pStyle w:val="Normal"/>
        <w:spacing w:lineRule="auto" w:line="240" w:before="0" w:after="0"/>
        <w:jc w:val="both"/>
        <w:rPr>
          <w:rFonts w:cs="Calibri" w:cstheme="minorHAnsi"/>
        </w:rPr>
      </w:pPr>
      <w:r>
        <w:rPr>
          <w:rFonts w:cs="Calibri" w:cstheme="minorHAnsi"/>
        </w:rPr>
        <w:t>Sołectwa: Czermin, Kamień Łukawski, Kępa Chwałowska, Nowy Garbów, Nowy Kamień, Stare Kichary położone są w strefie 6-10-cio minutowej (16%) a pozostałe sołectwa w strefie 11-15–to minutowej (7%).</w:t>
      </w:r>
    </w:p>
    <w:p>
      <w:pPr>
        <w:pStyle w:val="Normal"/>
        <w:spacing w:lineRule="auto" w:line="240" w:before="0" w:after="0"/>
        <w:jc w:val="both"/>
        <w:rPr>
          <w:rFonts w:cs="Calibri" w:cstheme="minorHAnsi"/>
        </w:rPr>
      </w:pPr>
      <w:r>
        <w:rPr>
          <w:rFonts w:cs="Calibri" w:cstheme="minorHAnsi"/>
        </w:rPr>
        <w:t xml:space="preserve">Przy dojeździe środkami komunikacji publicznej sytuacja jest zdecydowanie mniej korzystna. Jedynie sołectwa położone przy drodze wojewódzkiej mają korzystne powiązania z Dwikozami </w:t>
        <w:br/>
        <w:t xml:space="preserve">i Sandomierzem. Sieć dróg powiatowych jest niejednorodna. Obok dróg spełniających kryteria tej kategorii występują odcinki tras mających znaczenie jedynie lokalne. Ważne znaczenie mają drogi powiatowe: </w:t>
      </w:r>
    </w:p>
    <w:p>
      <w:pPr>
        <w:pStyle w:val="ListParagraph"/>
        <w:numPr>
          <w:ilvl w:val="0"/>
          <w:numId w:val="31"/>
        </w:numPr>
        <w:spacing w:lineRule="auto" w:line="240" w:before="0" w:after="0"/>
        <w:contextualSpacing/>
        <w:jc w:val="both"/>
        <w:rPr>
          <w:rFonts w:ascii="Calibri" w:hAnsi="Calibri" w:cs="Calibri" w:asciiTheme="minorHAnsi" w:cstheme="minorHAnsi" w:hAnsiTheme="minorHAnsi"/>
        </w:rPr>
      </w:pPr>
      <w:bookmarkStart w:id="108" w:name="_Hlk118789635"/>
      <w:r>
        <w:rPr>
          <w:rFonts w:cs="Calibri" w:cstheme="minorHAnsi"/>
        </w:rPr>
        <w:t xml:space="preserve">nr 0752 T Gałkowice - Ocin – Kichary Nowe - Dwikozy, która łączy ośrodek gminny z drogą krajową nr 79, </w:t>
      </w:r>
    </w:p>
    <w:p>
      <w:pPr>
        <w:pStyle w:val="ListParagraph"/>
        <w:numPr>
          <w:ilvl w:val="0"/>
          <w:numId w:val="31"/>
        </w:numPr>
        <w:spacing w:lineRule="auto" w:line="240" w:before="0" w:after="0"/>
        <w:contextualSpacing/>
        <w:jc w:val="both"/>
        <w:rPr>
          <w:rFonts w:ascii="Calibri" w:hAnsi="Calibri" w:cs="Calibri" w:asciiTheme="minorHAnsi" w:cstheme="minorHAnsi" w:hAnsiTheme="minorHAnsi"/>
        </w:rPr>
      </w:pPr>
      <w:bookmarkStart w:id="109" w:name="_Hlk118789635"/>
      <w:r>
        <w:rPr>
          <w:rFonts w:cs="Calibri" w:cstheme="minorHAnsi"/>
        </w:rPr>
        <w:t xml:space="preserve">nr 0749 T Wyspa – Romanówka – Nowy Garbów – Czermin - Słupcza, o funkcji jw. </w:t>
      </w:r>
      <w:bookmarkEnd w:id="109"/>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bookmarkStart w:id="110" w:name="_Toc436987126"/>
      <w:r>
        <w:rPr>
          <w:rFonts w:cs="Calibri" w:cstheme="minorHAnsi"/>
        </w:rPr>
        <w:t>Uzupełniający układ stanowią drogi gminne o łącznej długości 74,09 km, w tym o nawierzchni ulepszonej – 52,40 km. Sieć dróg gminnych jest gęsta, wspierana przez dużą liczbę dróg wewnętrznych i  polnych (głównie o nawierzchni nieulepszonej).</w:t>
      </w:r>
      <w:bookmarkEnd w:id="110"/>
    </w:p>
    <w:p>
      <w:pPr>
        <w:pStyle w:val="Normal"/>
        <w:spacing w:lineRule="auto" w:line="240" w:before="0" w:after="0"/>
        <w:jc w:val="both"/>
        <w:rPr>
          <w:rFonts w:cs="Calibri" w:cstheme="minorHAnsi"/>
          <w:i/>
          <w:i/>
          <w:highlight w:val="yellow"/>
        </w:rPr>
      </w:pPr>
      <w:r>
        <w:rPr>
          <w:rFonts w:cs="Calibri" w:cstheme="minorHAnsi"/>
          <w:i/>
          <w:highlight w:val="yellow"/>
        </w:rPr>
      </w:r>
    </w:p>
    <w:p>
      <w:pPr>
        <w:pStyle w:val="Normal"/>
        <w:spacing w:lineRule="auto" w:line="240" w:before="0" w:after="0"/>
        <w:jc w:val="both"/>
        <w:rPr>
          <w:rFonts w:cs="Calibri" w:cstheme="minorHAnsi"/>
        </w:rPr>
      </w:pPr>
      <w:bookmarkStart w:id="111" w:name="_Hlk118789832"/>
      <w:r>
        <w:rPr>
          <w:rFonts w:cs="Calibri" w:cstheme="minorHAnsi"/>
        </w:rPr>
        <w:t>Przez teren gminy Dwikozy przebiega na długości ok. 17 km linia kolejowa, normalnotorowa, dwutorowa, zelektryfikowana Łódź – Dębica</w:t>
      </w:r>
      <w:bookmarkEnd w:id="111"/>
      <w:r>
        <w:rPr>
          <w:rFonts w:cs="Calibri" w:cstheme="minorHAnsi"/>
        </w:rPr>
        <w:t xml:space="preserve"> oraz występują stacja kolejowa Dwikozy i przystanki Garbów oraz Metan. Wszystkie są obecnie nieużytkowane, nie występuje lokalny ruch pasażerski, który mógłby być przez nie obsługiwany. Linia kolejowa przecina na terenie gminy drogę wojewódzką w miejscowości Dwikozy, drogi powiatowe w Romanówce, Starym Garbowie, Dwikozach, Mściowie i Nowym Kamieniu oraz drogi gminne w Garbowie Starym, Dwikozach </w:t>
        <w:br/>
        <w:t xml:space="preserve">i Mściowie. Są to skrzyżowania kolizyjne wyposażone w zapory jedynie na drodze wojewódzkiej </w:t>
        <w:br/>
        <w:t>w Dwikozach i powiatowej w Nowym Kamieniu. W ostatnich latach, linia torowa została poddana gruntownej przebudowie w celu zwiększenia prędkości i bezpieczeństwa przejazdu na trasie.</w:t>
      </w:r>
    </w:p>
    <w:p>
      <w:pPr>
        <w:pStyle w:val="NoSpacing"/>
        <w:jc w:val="both"/>
        <w:rPr>
          <w:rFonts w:ascii="Calibri" w:hAnsi="Calibri" w:eastAsia="SimSun" w:cs="Calibri" w:asciiTheme="minorHAnsi" w:cstheme="minorHAnsi" w:hAnsiTheme="minorHAnsi"/>
          <w:highlight w:val="yellow"/>
          <w:lang w:eastAsia="zh-CN"/>
        </w:rPr>
      </w:pPr>
      <w:r>
        <w:rPr>
          <w:rFonts w:eastAsia="SimSun" w:cs="Calibri" w:cstheme="minorHAnsi"/>
          <w:highlight w:val="yellow"/>
          <w:lang w:eastAsia="zh-CN"/>
        </w:rPr>
      </w:r>
    </w:p>
    <w:p>
      <w:pPr>
        <w:pStyle w:val="NoSpacing"/>
        <w:jc w:val="both"/>
        <w:rPr>
          <w:rFonts w:ascii="Calibri" w:hAnsi="Calibri" w:cs="Calibri" w:asciiTheme="minorHAnsi" w:cstheme="minorHAnsi" w:hAnsiTheme="minorHAnsi"/>
          <w:b/>
          <w:b/>
          <w:bCs/>
        </w:rPr>
      </w:pPr>
      <w:r>
        <w:rPr>
          <w:rFonts w:eastAsia="SimSun" w:cs="Calibri" w:cstheme="minorHAnsi"/>
          <w:b/>
          <w:bCs/>
        </w:rPr>
        <w:t xml:space="preserve">Potrzeby inwestycyjne Gminy Dwikozy </w:t>
      </w:r>
      <w:r>
        <w:rPr>
          <w:rFonts w:cs="Calibri" w:cstheme="minorHAnsi"/>
          <w:b/>
          <w:bCs/>
        </w:rPr>
        <w:t>w obszarze infrastruktury drogowej</w:t>
      </w:r>
    </w:p>
    <w:p>
      <w:pPr>
        <w:pStyle w:val="NoSpacing"/>
        <w:jc w:val="both"/>
        <w:rPr>
          <w:rFonts w:ascii="Calibri" w:hAnsi="Calibri" w:cs="Calibri" w:asciiTheme="minorHAnsi" w:cstheme="minorHAnsi" w:hAnsiTheme="minorHAnsi"/>
        </w:rPr>
      </w:pPr>
      <w:r>
        <w:rPr>
          <w:rFonts w:cs="Calibri" w:cstheme="minorHAnsi"/>
        </w:rPr>
        <w:t>Jakość infrastruktury drogowej ma bardzo duże znaczenie dla generowania rozwoju gospodarczego regionu, ale także gminy. Dobry stan dróg, chodników, odpowiednia ilość ścieżek pieszo-rowerowych ma wpływ na podniesienie atrakcyjności inwestycyjnej i turystycznej danego obszaru. W gminie Dwikozy istnieje potrzeba realizacji zadań mających na celu rozbudowę i modernizację infrastruktury drogowej i około drogowej, a do najważniejszych z nich zaliczamy:</w:t>
      </w:r>
    </w:p>
    <w:p>
      <w:pPr>
        <w:pStyle w:val="Normal"/>
        <w:spacing w:lineRule="auto" w:line="240" w:before="0" w:after="0"/>
        <w:contextualSpacing/>
        <w:jc w:val="both"/>
        <w:rPr>
          <w:rFonts w:ascii="Calibri" w:hAnsi="Calibri" w:eastAsia="Calibri" w:cs="Calibri"/>
        </w:rPr>
      </w:pPr>
      <w:r>
        <w:rPr>
          <w:rFonts w:eastAsia="Calibri" w:cs="Calibri"/>
        </w:rPr>
        <w:t xml:space="preserve">1. Przebudowa  </w:t>
      </w:r>
      <w:r>
        <w:rPr>
          <w:rFonts w:eastAsia="Times New Roman" w:cs="Calibri"/>
          <w:color w:val="000000"/>
          <w:lang w:eastAsia="pl-PL"/>
        </w:rPr>
        <w:t>i /lub rozbudowa i/lub modernizacja dróg gminnych i powiatowych.</w:t>
      </w:r>
    </w:p>
    <w:p>
      <w:pPr>
        <w:pStyle w:val="Normal"/>
        <w:spacing w:lineRule="auto" w:line="240" w:before="0" w:after="0"/>
        <w:contextualSpacing/>
        <w:jc w:val="both"/>
        <w:rPr>
          <w:rFonts w:ascii="Calibri" w:hAnsi="Calibri" w:eastAsia="Calibri" w:cs="Calibri"/>
        </w:rPr>
      </w:pPr>
      <w:r>
        <w:rPr>
          <w:rFonts w:eastAsia="Calibri" w:cs="Calibri"/>
        </w:rPr>
        <w:t>2. Budowa i modernizacja chodników i przejść dla pieszych w miejscowościach, gdzie ma to uzasadnienie z uwagi na bezpieczeństwo mieszkańców.</w:t>
      </w:r>
    </w:p>
    <w:p>
      <w:pPr>
        <w:pStyle w:val="Normal"/>
        <w:spacing w:lineRule="auto" w:line="240" w:before="0" w:after="0"/>
        <w:contextualSpacing/>
        <w:jc w:val="both"/>
        <w:rPr>
          <w:rFonts w:ascii="Calibri" w:hAnsi="Calibri" w:eastAsia="Calibri" w:cs="Calibri"/>
        </w:rPr>
      </w:pPr>
      <w:r>
        <w:rPr>
          <w:rFonts w:eastAsia="Calibri" w:cs="Calibri"/>
        </w:rPr>
        <w:t>3. R</w:t>
      </w:r>
      <w:r>
        <w:rPr>
          <w:rFonts w:eastAsia="Calibri" w:cs="Times New Roman"/>
        </w:rPr>
        <w:t>emont dróg tłuczniowo – żwirowych, p</w:t>
      </w:r>
      <w:r>
        <w:rPr>
          <w:rFonts w:eastAsia="Calibri" w:cs="Calibri"/>
        </w:rPr>
        <w:t>rzebudowa i modernizacja dróg dojazdowych do pól.</w:t>
      </w:r>
    </w:p>
    <w:p>
      <w:pPr>
        <w:pStyle w:val="Normal"/>
        <w:spacing w:lineRule="auto" w:line="240" w:before="0" w:after="0"/>
        <w:contextualSpacing/>
        <w:jc w:val="both"/>
        <w:rPr>
          <w:rFonts w:ascii="Calibri" w:hAnsi="Calibri" w:eastAsia="Calibri" w:cs="Calibri"/>
        </w:rPr>
      </w:pPr>
      <w:r>
        <w:rPr>
          <w:rFonts w:eastAsia="Calibri" w:cs="Calibri"/>
        </w:rPr>
        <w:t>4. Budowa infrastruktury dla ruchu niezmotoryzowanego –  drogi, ścieżki i pasy rowerowe, strefy wolne od ruchu samochodowego w celu zapewnienia odpowiedniego poziomu mobilności społeczeństwa poprzez rozwijanie infrastruktury rowerowej i spacerowej.</w:t>
      </w:r>
    </w:p>
    <w:p>
      <w:pPr>
        <w:pStyle w:val="Normal"/>
        <w:spacing w:lineRule="auto" w:line="240" w:before="0" w:after="0"/>
        <w:contextualSpacing/>
        <w:jc w:val="both"/>
        <w:rPr>
          <w:rFonts w:ascii="Calibri" w:hAnsi="Calibri" w:eastAsia="Calibri" w:cs="Calibri"/>
        </w:rPr>
      </w:pPr>
      <w:r>
        <w:rPr>
          <w:rFonts w:eastAsia="Calibri" w:cs="Calibri"/>
        </w:rPr>
        <w:t>5. Rozwój systemów transportu publicznego zapobiegających wykluczeniu transportowemu.</w:t>
      </w:r>
    </w:p>
    <w:p>
      <w:pPr>
        <w:pStyle w:val="NoSpacing"/>
        <w:jc w:val="both"/>
        <w:rPr/>
      </w:pPr>
      <w:r>
        <w:rPr/>
        <w:t>6. Zakup nowoczesnego energooszczędnego busa do przeznaczonego do dowozu dzieci do szkół.</w:t>
      </w:r>
    </w:p>
    <w:p>
      <w:pPr>
        <w:pStyle w:val="NoSpacing"/>
        <w:ind w:left="720" w:hanging="0"/>
        <w:jc w:val="both"/>
        <w:rPr>
          <w:rFonts w:ascii="Calibri" w:hAnsi="Calibri" w:eastAsia="SimSun" w:cs="Calibri" w:asciiTheme="minorHAnsi" w:cstheme="minorHAnsi" w:hAnsiTheme="minorHAnsi"/>
          <w:lang w:eastAsia="zh-CN"/>
        </w:rPr>
      </w:pPr>
      <w:r>
        <w:rPr>
          <w:rFonts w:eastAsia="SimSun" w:cs="Calibri" w:cstheme="minorHAnsi"/>
          <w:lang w:eastAsia="zh-CN"/>
        </w:rPr>
      </w:r>
    </w:p>
    <w:p>
      <w:pPr>
        <w:pStyle w:val="Nagwek2"/>
        <w:numPr>
          <w:ilvl w:val="1"/>
          <w:numId w:val="1"/>
        </w:numPr>
        <w:spacing w:lineRule="auto" w:line="240" w:before="0" w:after="120"/>
        <w:ind w:left="426" w:hanging="432"/>
        <w:rPr>
          <w:rFonts w:ascii="Calibri" w:hAnsi="Calibri" w:cs="Calibri" w:asciiTheme="minorHAnsi" w:cstheme="minorHAnsi" w:hAnsiTheme="minorHAnsi"/>
          <w:i w:val="false"/>
          <w:i w:val="false"/>
          <w:iCs w:val="false"/>
          <w:sz w:val="32"/>
          <w:szCs w:val="32"/>
        </w:rPr>
      </w:pPr>
      <w:bookmarkStart w:id="112" w:name="_Toc69212080"/>
      <w:r>
        <w:rPr>
          <w:rFonts w:cs="Calibri" w:ascii="Calibri" w:hAnsi="Calibri" w:asciiTheme="minorHAnsi" w:cstheme="minorHAnsi" w:hAnsiTheme="minorHAnsi"/>
          <w:i w:val="false"/>
          <w:iCs w:val="false"/>
          <w:sz w:val="32"/>
          <w:szCs w:val="32"/>
        </w:rPr>
        <w:t xml:space="preserve"> </w:t>
      </w:r>
      <w:bookmarkStart w:id="113" w:name="_Toc118887459"/>
      <w:r>
        <w:rPr>
          <w:rFonts w:cs="Calibri" w:ascii="Calibri" w:hAnsi="Calibri" w:asciiTheme="minorHAnsi" w:cstheme="minorHAnsi" w:hAnsiTheme="minorHAnsi"/>
          <w:i w:val="false"/>
          <w:iCs w:val="false"/>
          <w:sz w:val="32"/>
          <w:szCs w:val="32"/>
        </w:rPr>
        <w:t xml:space="preserve">Infrastruktura </w:t>
      </w:r>
      <w:bookmarkEnd w:id="112"/>
      <w:r>
        <w:rPr>
          <w:rFonts w:cs="Calibri" w:ascii="Calibri" w:hAnsi="Calibri" w:asciiTheme="minorHAnsi" w:cstheme="minorHAnsi" w:hAnsiTheme="minorHAnsi"/>
          <w:i w:val="false"/>
          <w:iCs w:val="false"/>
          <w:sz w:val="32"/>
          <w:szCs w:val="32"/>
        </w:rPr>
        <w:t>wodno-kanalizacyjna</w:t>
      </w:r>
      <w:bookmarkEnd w:id="113"/>
    </w:p>
    <w:p>
      <w:pPr>
        <w:pStyle w:val="Normal"/>
        <w:spacing w:lineRule="auto" w:line="240" w:before="0" w:after="120"/>
        <w:jc w:val="both"/>
        <w:rPr>
          <w:rFonts w:eastAsia="SimSun" w:cs="Calibri" w:cstheme="minorHAnsi"/>
          <w:bCs/>
          <w:lang w:eastAsia="zh-CN"/>
        </w:rPr>
      </w:pPr>
      <w:r>
        <w:rPr>
          <w:rFonts w:eastAsia="SimSun" w:cs="Calibri" w:cstheme="minorHAnsi"/>
          <w:bCs/>
          <w:lang w:eastAsia="zh-CN"/>
        </w:rPr>
        <w:t xml:space="preserve">W 2021r. dostęp do infrastruktury sieciowej nie zmienił się znacząco w stosunku do roku 2020. Gmina Dwikozy jest zwodociągowana prawie w całości, z wyjątkiem sołectwa Nowe Kichary. Łączna długość sieci wodociągowej na terenie gminy wynosi 156,39 km (nieznaczny przyrost o 220 m </w:t>
        <w:br/>
        <w:t>w stosunku do 2020 roku).</w:t>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r>
    </w:p>
    <w:p>
      <w:pPr>
        <w:pStyle w:val="Normal"/>
        <w:spacing w:lineRule="auto" w:line="240" w:before="0" w:after="0"/>
        <w:jc w:val="both"/>
        <w:rPr>
          <w:rFonts w:eastAsia="SimSun" w:cs="Calibri" w:cstheme="minorHAnsi"/>
          <w:bCs/>
          <w:lang w:eastAsia="zh-CN"/>
        </w:rPr>
      </w:pPr>
      <w:r>
        <w:rPr>
          <w:rFonts w:eastAsia="SimSun" w:cs="Calibri" w:cstheme="minorHAnsi"/>
          <w:b/>
          <w:lang w:eastAsia="zh-CN"/>
        </w:rPr>
        <w:t>Wodociąg grupowy „Winiary — Dwikozy”</w:t>
      </w:r>
      <w:r>
        <w:rPr>
          <w:rFonts w:eastAsia="SimSun" w:cs="Calibri" w:cstheme="minorHAnsi"/>
          <w:bCs/>
          <w:lang w:eastAsia="zh-CN"/>
        </w:rPr>
        <w:t xml:space="preserve"> zasilany jest z ujęcia wód podziemnych zlokalizowanego w miejscowości Winiary, składającego się ze studni zasadniczej S-1 o zatwierdzonych zasobach eksploatacyjnych w kat. B wynoszących Qe = 131,14 m³/h i ze studni awaryjnej S-3 o zatwierdzonych zasobach eksploatacyjnych Qe = 41 m³/h. Woda ze studni pompowana jest do wieżowego zbiornika wyrównawczego o pojemności 300 m³, z którego grawitacyjnie rozprowadzana jest siecią rurociągów magistralnych do miejscowości: Winiary, Winiarki, Kępa Chwałowska, Słupcza, Dwikozy, Szczytniki </w:t>
        <w:br/>
        <w:t xml:space="preserve">i Gierlachów na terenie gminy Dwikozy oraz do miejscowości Podgórze w gminie Zawichost. </w:t>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r>
    </w:p>
    <w:p>
      <w:pPr>
        <w:pStyle w:val="Normal"/>
        <w:spacing w:lineRule="auto" w:line="240" w:before="0" w:after="0"/>
        <w:jc w:val="both"/>
        <w:rPr>
          <w:rFonts w:eastAsia="SimSun" w:cs="Calibri" w:cstheme="minorHAnsi"/>
          <w:bCs/>
          <w:lang w:eastAsia="zh-CN"/>
        </w:rPr>
      </w:pPr>
      <w:r>
        <w:rPr>
          <w:rFonts w:eastAsia="SimSun" w:cs="Calibri" w:cstheme="minorHAnsi"/>
          <w:b/>
          <w:lang w:eastAsia="zh-CN"/>
        </w:rPr>
        <w:t xml:space="preserve">Wodociąg wiejski „Romanówka” </w:t>
      </w:r>
      <w:r>
        <w:rPr>
          <w:rFonts w:eastAsia="SimSun" w:cs="Calibri" w:cstheme="minorHAnsi"/>
          <w:bCs/>
          <w:lang w:eastAsia="zh-CN"/>
        </w:rPr>
        <w:t>zaopatrywany z ujęcia wody podziemnej zlokalizowanego na terenie tej miejscowości w postaci jednej studni wierconej posiadającej zatwierdzone zasoby eksploatacyjne w kat. B wynoszące Qe = 26,5 m³/h. Woda ze studni pompowana jest do dwóch zbiorników hydroforowych o pojemności 1,5 m³ każdy, z których pod właściwym ciśnieniem zasila rozdzielczą sieć wodociągu wiejskiego wybudowaną na terenie miejscowości Romanówka.</w:t>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r>
    </w:p>
    <w:p>
      <w:pPr>
        <w:pStyle w:val="Normal"/>
        <w:spacing w:lineRule="auto" w:line="240" w:before="0" w:after="0"/>
        <w:jc w:val="both"/>
        <w:rPr>
          <w:rFonts w:eastAsia="SimSun" w:cs="Calibri" w:cstheme="minorHAnsi"/>
          <w:bCs/>
          <w:lang w:eastAsia="zh-CN"/>
        </w:rPr>
      </w:pPr>
      <w:r>
        <w:rPr>
          <w:rFonts w:eastAsia="SimSun" w:cs="Calibri" w:cstheme="minorHAnsi"/>
          <w:b/>
          <w:lang w:eastAsia="zh-CN"/>
        </w:rPr>
        <w:t>Wodociąg wiejski „Góry Wysokie”</w:t>
      </w:r>
      <w:r>
        <w:rPr>
          <w:rFonts w:eastAsia="SimSun" w:cs="Calibri" w:cstheme="minorHAnsi"/>
          <w:bCs/>
          <w:lang w:eastAsia="zh-CN"/>
        </w:rPr>
        <w:t xml:space="preserve"> zasilany jest z ujęcia wód podziemnych zlokalizowanego </w:t>
        <w:br/>
        <w:t xml:space="preserve">w miejscowości Góry Wysokie, składającego się ze studni zasadniczej S-II posiadającej zatwierdzone zasoby eksploatacyjne w kat. B w ilości Qe = 27,0 m³/h i studni awaryjnej S-I z zatwierdzonymi zasobami eksploatacyjnymi w ilości 14,47 m³/h. Woda ze studni zasadniczej lub awaryjnej, pompami głębinowymi tłoczona jest do zlokalizowanego na terenie ujęcia zbiornika wyrównawczego </w:t>
        <w:br/>
        <w:t>o pojemności 75 m³, a następnie pompami II-go stopnia pompowana jest do zbiornika hydroforowego o pojemności 3,0 m³, skąd pod właściwym ciśnieniem zasila rozdzielczą sieć wodociągową wybudowaną na terenie miejscowości Góry Wysokie.</w:t>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t xml:space="preserve">Ponadto na terenie gminy Dwikozy, w miejscowości Romanówka eksploatowane jest </w:t>
      </w:r>
      <w:r>
        <w:rPr>
          <w:rFonts w:eastAsia="SimSun" w:cs="Calibri" w:cstheme="minorHAnsi"/>
          <w:b/>
          <w:lang w:eastAsia="zh-CN"/>
        </w:rPr>
        <w:t>komunalne ujęcie wody dla pobliskiego Sandomierza</w:t>
      </w:r>
      <w:r>
        <w:rPr>
          <w:rFonts w:eastAsia="SimSun" w:cs="Calibri" w:cstheme="minorHAnsi"/>
          <w:bCs/>
          <w:lang w:eastAsia="zh-CN"/>
        </w:rPr>
        <w:t xml:space="preserve">. Jego wydajność wynosi około 4.800 m³/d. Woda doprowadzana jest do Sandomierza magistralnym rurociągiem dosyłowym Ø500 mm, którego trasa poprowadzona została częściowo przez teren gminy Dwikozy, w rejonie miejscowości Romanówka </w:t>
        <w:br/>
        <w:t>i Gałkowice. Z rurociągu tego, poprzez pompownię wybudowaną na północnym skraju Gałkowic, zasilane są wodociągi wiejskie w miejscowościach Gałkowice i Kichary Stare. Z sieci wodociągowej zaopatrującej w wodę Sandomierz zasilane są również wodociągi w miejscowościach: Buczek, Kolonia Kogutki i Kamień Łukawski.</w:t>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r>
    </w:p>
    <w:p>
      <w:pPr>
        <w:pStyle w:val="Normal"/>
        <w:spacing w:lineRule="auto" w:line="240" w:before="0" w:after="0"/>
        <w:jc w:val="both"/>
        <w:rPr>
          <w:rFonts w:eastAsia="SimSun" w:cs="Calibri" w:cstheme="minorHAnsi"/>
          <w:bCs/>
          <w:lang w:eastAsia="zh-CN"/>
        </w:rPr>
      </w:pPr>
      <w:r>
        <w:rPr>
          <w:rFonts w:eastAsia="SimSun" w:cs="Calibri" w:cstheme="minorHAnsi"/>
          <w:bCs/>
          <w:lang w:eastAsia="zh-CN"/>
        </w:rPr>
        <w:t>Eksploatacją ujęć wody i siecią wodociągową na terenie gminy Dwikozy zajmuje się Zakład Gospodarki Komunalnej w Dwikozach Sp. z o.o.</w:t>
      </w:r>
    </w:p>
    <w:p>
      <w:pPr>
        <w:pStyle w:val="Normal"/>
        <w:spacing w:lineRule="auto" w:line="240" w:before="0" w:after="0"/>
        <w:jc w:val="both"/>
        <w:rPr>
          <w:rFonts w:eastAsia="SimSun" w:cs="Calibri" w:cstheme="minorHAnsi"/>
          <w:bCs/>
          <w:highlight w:val="yellow"/>
          <w:lang w:eastAsia="zh-CN"/>
        </w:rPr>
      </w:pPr>
      <w:r>
        <w:rPr>
          <w:rFonts w:eastAsia="SimSun" w:cs="Calibri" w:cstheme="minorHAnsi"/>
          <w:bCs/>
          <w:highlight w:val="yellow"/>
          <w:lang w:eastAsia="zh-CN"/>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lang w:eastAsia="pl-PL"/>
        </w:rPr>
      </w:pPr>
      <w:bookmarkStart w:id="114" w:name="_Toc118887762"/>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13</w:t>
      </w:r>
      <w:r>
        <w:rPr>
          <w:b w:val="false"/>
          <w:bCs w:val="false"/>
          <w:rFonts w:cs="Calibri"/>
        </w:rPr>
        <w:fldChar w:fldCharType="end"/>
      </w:r>
      <w:r>
        <w:rPr>
          <w:rFonts w:cs="Calibri" w:cstheme="minorHAnsi"/>
          <w:b w:val="false"/>
          <w:bCs w:val="false"/>
        </w:rPr>
        <w:t xml:space="preserve"> </w:t>
      </w:r>
      <w:r>
        <w:rPr>
          <w:rFonts w:eastAsia="Times New Roman" w:cs="Calibri" w:cstheme="minorHAnsi"/>
          <w:b w:val="false"/>
          <w:bCs w:val="false"/>
          <w:lang w:eastAsia="pl-PL"/>
        </w:rPr>
        <w:t>Wskaźniki zwodociągowania w Gminie Dwikozy</w:t>
      </w:r>
      <w:bookmarkEnd w:id="114"/>
    </w:p>
    <w:tbl>
      <w:tblPr>
        <w:tblW w:w="938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268"/>
        <w:gridCol w:w="850"/>
        <w:gridCol w:w="851"/>
        <w:gridCol w:w="859"/>
        <w:gridCol w:w="851"/>
        <w:gridCol w:w="852"/>
        <w:gridCol w:w="851"/>
      </w:tblGrid>
      <w:tr>
        <w:trPr>
          <w:trHeight w:val="288" w:hRule="atLeast"/>
        </w:trPr>
        <w:tc>
          <w:tcPr>
            <w:tcW w:w="42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Kategoria</w:t>
            </w:r>
          </w:p>
        </w:tc>
        <w:tc>
          <w:tcPr>
            <w:tcW w:w="85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2016</w:t>
            </w:r>
          </w:p>
        </w:tc>
        <w:tc>
          <w:tcPr>
            <w:tcW w:w="8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2017</w:t>
            </w:r>
          </w:p>
        </w:tc>
        <w:tc>
          <w:tcPr>
            <w:tcW w:w="859"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2018</w:t>
            </w:r>
          </w:p>
        </w:tc>
        <w:tc>
          <w:tcPr>
            <w:tcW w:w="8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2019</w:t>
            </w:r>
          </w:p>
        </w:tc>
        <w:tc>
          <w:tcPr>
            <w:tcW w:w="85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2020</w:t>
            </w:r>
          </w:p>
        </w:tc>
        <w:tc>
          <w:tcPr>
            <w:tcW w:w="8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2021</w:t>
            </w:r>
          </w:p>
        </w:tc>
      </w:tr>
      <w:tr>
        <w:trPr>
          <w:trHeight w:val="288" w:hRule="atLeast"/>
        </w:trPr>
        <w:tc>
          <w:tcPr>
            <w:tcW w:w="426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długość eksploatowanej sieci wodociągowej (rozdzielczej i przesyłowej) (km)</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8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153.4</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153.6</w:t>
            </w:r>
          </w:p>
        </w:tc>
      </w:tr>
      <w:tr>
        <w:trPr>
          <w:trHeight w:val="288" w:hRule="atLeast"/>
        </w:trPr>
        <w:tc>
          <w:tcPr>
            <w:tcW w:w="4268" w:type="dxa"/>
            <w:tcBorders>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przyłącza prowadzące do budynków mieszkalnych i zbiorowego zamieszkania (szt)</w:t>
            </w:r>
          </w:p>
        </w:tc>
        <w:tc>
          <w:tcPr>
            <w:tcW w:w="85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2,316</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2,333</w:t>
            </w:r>
          </w:p>
        </w:tc>
        <w:tc>
          <w:tcPr>
            <w:tcW w:w="859"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2,347</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2,377</w:t>
            </w:r>
          </w:p>
        </w:tc>
        <w:tc>
          <w:tcPr>
            <w:tcW w:w="852"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2,400</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2,423</w:t>
            </w:r>
          </w:p>
        </w:tc>
      </w:tr>
      <w:tr>
        <w:trPr>
          <w:trHeight w:val="288" w:hRule="atLeast"/>
        </w:trPr>
        <w:tc>
          <w:tcPr>
            <w:tcW w:w="426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awarie sieci wodociągowej</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8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w:t>
            </w:r>
          </w:p>
        </w:tc>
      </w:tr>
      <w:tr>
        <w:trPr>
          <w:trHeight w:val="288" w:hRule="atLeast"/>
        </w:trPr>
        <w:tc>
          <w:tcPr>
            <w:tcW w:w="4268" w:type="dxa"/>
            <w:tcBorders>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zużycie wody w gospodarstwach domowych ogółem na 1 mieszkańca</w:t>
            </w:r>
          </w:p>
        </w:tc>
        <w:tc>
          <w:tcPr>
            <w:tcW w:w="85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26.4</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27.4</w:t>
            </w:r>
          </w:p>
        </w:tc>
        <w:tc>
          <w:tcPr>
            <w:tcW w:w="859"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27.4</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28.1</w:t>
            </w:r>
          </w:p>
        </w:tc>
        <w:tc>
          <w:tcPr>
            <w:tcW w:w="852"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29.7</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26.6</w:t>
            </w:r>
          </w:p>
        </w:tc>
      </w:tr>
      <w:tr>
        <w:trPr>
          <w:trHeight w:val="288" w:hRule="atLeast"/>
        </w:trPr>
        <w:tc>
          <w:tcPr>
            <w:tcW w:w="426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ludność korzystająca z sieci wodociągowej</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7,843</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7,831</w:t>
            </w:r>
          </w:p>
        </w:tc>
        <w:tc>
          <w:tcPr>
            <w:tcW w:w="8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7,764</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7,714</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7,670</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7,613</w:t>
            </w:r>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rmal"/>
        <w:spacing w:lineRule="auto" w:line="240" w:before="0" w:after="0"/>
        <w:jc w:val="center"/>
        <w:rPr>
          <w:rFonts w:cs="Calibri" w:cstheme="minorHAnsi"/>
          <w:highlight w:val="yellow"/>
        </w:rPr>
      </w:pPr>
      <w:r>
        <w:rPr>
          <w:rFonts w:cs="Calibri" w:cstheme="minorHAnsi"/>
          <w:highlight w:val="yellow"/>
        </w:rPr>
      </w:r>
    </w:p>
    <w:p>
      <w:pPr>
        <w:pStyle w:val="Normal"/>
        <w:spacing w:lineRule="auto" w:line="240" w:before="0" w:after="0"/>
        <w:ind w:firstLine="720"/>
        <w:jc w:val="both"/>
        <w:rPr>
          <w:rFonts w:eastAsia="SimSun" w:cs="Calibri" w:cstheme="minorHAnsi"/>
          <w:lang w:eastAsia="zh-CN"/>
        </w:rPr>
      </w:pPr>
      <w:r>
        <w:rPr>
          <w:rFonts w:cs="Calibri" w:cstheme="minorHAnsi"/>
          <w:lang w:eastAsia="pl-PL"/>
        </w:rPr>
        <w:t xml:space="preserve">Wskaźnik zwodociągowania gminy w roku 2021 wynosił 96%. </w:t>
      </w:r>
      <w:r>
        <w:rPr>
          <w:rFonts w:eastAsia="SimSun" w:cs="Calibri" w:cstheme="minorHAnsi"/>
          <w:lang w:eastAsia="zh-CN"/>
        </w:rPr>
        <w:t xml:space="preserve">Zdecydowanie gorzej wypada poziom skanalizowania gminy. Na jej terenie wykonano dotychczas zaledwie 12,9 km zbiorczego systemu kanalizacji sanitarnej. Wskaźnik skanalizowania wynosi 5%. </w:t>
      </w:r>
      <w:r>
        <w:rPr>
          <w:rFonts w:eastAsia="SimSun" w:cs="Calibri" w:cstheme="minorHAnsi"/>
          <w:bCs/>
          <w:lang w:eastAsia="zh-CN"/>
        </w:rPr>
        <w:t>Dostęp do kanalizacji posiadała tylko część mieszkańców sołectwa Dwikozy</w:t>
      </w:r>
      <w:r>
        <w:rPr>
          <w:rFonts w:eastAsia="SimSun" w:cs="Calibri" w:cstheme="minorHAnsi"/>
          <w:lang w:eastAsia="zh-CN"/>
        </w:rPr>
        <w:t xml:space="preserve">. Brak uporządkowania gospodarki sanitarnej na terenie gminy wywiera bardzo niekorzystny wpływ na środowisko naturalne w szczególności zaś na zasoby wodne (bezpośrednio stanowi również znaczący czynnik ograniczający rozwój gminy). </w:t>
      </w:r>
    </w:p>
    <w:p>
      <w:pPr>
        <w:pStyle w:val="Normal"/>
        <w:spacing w:lineRule="auto" w:line="240" w:before="0" w:after="0"/>
        <w:ind w:firstLine="720"/>
        <w:jc w:val="both"/>
        <w:rPr>
          <w:rFonts w:eastAsia="SimSun" w:cs="Calibri" w:cstheme="minorHAnsi"/>
          <w:lang w:eastAsia="zh-CN"/>
        </w:rPr>
      </w:pPr>
      <w:r>
        <w:rPr>
          <w:rFonts w:eastAsia="SimSun" w:cs="Calibri" w:cstheme="minorHAnsi"/>
          <w:lang w:eastAsia="zh-CN"/>
        </w:rPr>
        <w:t xml:space="preserve">Mocną stroną jest fakt, że istniejące sieci (zarówno wodociągowa jak i kanalizacyjna) są </w:t>
        <w:br/>
        <w:t>w dobrym stanie technicznym. Istnieje ogromna potrzeba rozbudowy sieci kanalizacji sanitarnej, aby zapewnić dostęp do kanalizacji wszystkim mieszkańcom gminy lub budowę przydomowych oczyszczalni ścieków tam gdzie budowa sieci jest niezasadna ekonomicznie. Na terenie gminy funkcjonują dwie oczyszczalnie ścieków.</w:t>
      </w:r>
      <w:r>
        <w:rPr>
          <w:rFonts w:cs="Calibri" w:cstheme="minorHAnsi"/>
        </w:rPr>
        <w:t xml:space="preserve"> Oczyszczalni ścieków w Dwikozach położona przy ul. Kolejowej, która została wybudowana w latach 2010 – 2011 przy wsparciu finansowym środków unijnych z Regionalnego Programu Operacyjnego Województwa Świętokrzyskiego 2007-2013. Moce przerobowe oczyszczalni są znaczne i wystarczą na efektywny odbiór i oczyszczanie ścieków od wszystkich mieszkańców gminy. </w:t>
      </w:r>
      <w:bookmarkStart w:id="115" w:name="_Hlk118877092"/>
      <w:r>
        <w:rPr>
          <w:rFonts w:cs="Calibri" w:cstheme="minorHAnsi"/>
        </w:rPr>
        <w:t xml:space="preserve">Oprócz głównej oczyszczalni, działa również mała przyzakładowa oczyszczalnia przy ul. Spółdzielczej, odbierająca ścieki z Urzędu Gminy w Dwikozach i kilku okolicznych posesji prywatnych. </w:t>
      </w:r>
      <w:bookmarkEnd w:id="115"/>
      <w:r>
        <w:rPr>
          <w:rFonts w:cs="Calibri" w:cstheme="minorHAnsi"/>
        </w:rPr>
        <w:t>W pozostałej części gminy mieszkańcy do zagospodarowania ścieków wykorzystują okresowo opróżniane zbiorniki bezodpływowe. Ścieki są wywożone przez prywatnych przewoźników do pobliskich oczyszczalni. Sporadycznie występują przydomowe oczyszczalnie ścieków.</w:t>
      </w:r>
    </w:p>
    <w:p>
      <w:pPr>
        <w:pStyle w:val="Normal"/>
        <w:spacing w:lineRule="auto" w:line="240" w:before="0" w:after="0"/>
        <w:jc w:val="both"/>
        <w:rPr>
          <w:rFonts w:eastAsia="SimSun" w:cs="Calibri" w:cstheme="minorHAnsi"/>
          <w:lang w:eastAsia="zh-CN"/>
        </w:rPr>
      </w:pPr>
      <w:r>
        <w:rPr>
          <w:rFonts w:eastAsia="SimSun" w:cs="Calibri" w:cstheme="minorHAnsi"/>
          <w:lang w:eastAsia="zh-CN"/>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lang w:eastAsia="pl-PL"/>
        </w:rPr>
      </w:pPr>
      <w:bookmarkStart w:id="116" w:name="_Toc118887763"/>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14</w:t>
      </w:r>
      <w:r>
        <w:rPr>
          <w:b w:val="false"/>
          <w:bCs w:val="false"/>
          <w:rFonts w:cs="Calibri"/>
        </w:rPr>
        <w:fldChar w:fldCharType="end"/>
      </w:r>
      <w:r>
        <w:rPr>
          <w:rFonts w:eastAsia="Times New Roman" w:cs="Calibri" w:cstheme="minorHAnsi"/>
          <w:b w:val="false"/>
          <w:bCs w:val="false"/>
          <w:lang w:eastAsia="pl-PL"/>
        </w:rPr>
        <w:t>. Kanalizacja sanitarna na terenie Gminy Dwikozy</w:t>
      </w:r>
      <w:bookmarkEnd w:id="116"/>
    </w:p>
    <w:tbl>
      <w:tblPr>
        <w:tblW w:w="907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955"/>
        <w:gridCol w:w="851"/>
        <w:gridCol w:w="850"/>
        <w:gridCol w:w="860"/>
        <w:gridCol w:w="851"/>
        <w:gridCol w:w="852"/>
        <w:gridCol w:w="850"/>
      </w:tblGrid>
      <w:tr>
        <w:trPr>
          <w:trHeight w:val="288" w:hRule="atLeast"/>
        </w:trPr>
        <w:tc>
          <w:tcPr>
            <w:tcW w:w="395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kategoria</w:t>
            </w:r>
          </w:p>
        </w:tc>
        <w:tc>
          <w:tcPr>
            <w:tcW w:w="8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2016</w:t>
            </w:r>
          </w:p>
        </w:tc>
        <w:tc>
          <w:tcPr>
            <w:tcW w:w="85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2017</w:t>
            </w:r>
          </w:p>
        </w:tc>
        <w:tc>
          <w:tcPr>
            <w:tcW w:w="8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2018</w:t>
            </w:r>
          </w:p>
        </w:tc>
        <w:tc>
          <w:tcPr>
            <w:tcW w:w="8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2019</w:t>
            </w:r>
          </w:p>
        </w:tc>
        <w:tc>
          <w:tcPr>
            <w:tcW w:w="85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2020</w:t>
            </w:r>
          </w:p>
        </w:tc>
        <w:tc>
          <w:tcPr>
            <w:tcW w:w="85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2021</w:t>
            </w:r>
          </w:p>
        </w:tc>
      </w:tr>
      <w:tr>
        <w:trPr>
          <w:trHeight w:val="288" w:hRule="atLeast"/>
        </w:trPr>
        <w:tc>
          <w:tcPr>
            <w:tcW w:w="395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długość czynnej sieci kanalizacyjnej (km)</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12.3</w:t>
            </w:r>
          </w:p>
        </w:tc>
        <w:tc>
          <w:tcPr>
            <w:tcW w:w="8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12.5</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12.8</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12.9</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12.9</w:t>
            </w:r>
          </w:p>
        </w:tc>
      </w:tr>
      <w:tr>
        <w:trPr>
          <w:trHeight w:val="288" w:hRule="atLeast"/>
        </w:trPr>
        <w:tc>
          <w:tcPr>
            <w:tcW w:w="3955" w:type="dxa"/>
            <w:tcBorders>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przyłącza prowadzące do budynków mieszkalnych i zbiorowego zamieszkania (szt)</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206</w:t>
            </w:r>
          </w:p>
        </w:tc>
        <w:tc>
          <w:tcPr>
            <w:tcW w:w="85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195</w:t>
            </w:r>
          </w:p>
        </w:tc>
        <w:tc>
          <w:tcPr>
            <w:tcW w:w="86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215</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220</w:t>
            </w:r>
          </w:p>
        </w:tc>
        <w:tc>
          <w:tcPr>
            <w:tcW w:w="852"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225</w:t>
            </w:r>
          </w:p>
        </w:tc>
        <w:tc>
          <w:tcPr>
            <w:tcW w:w="85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230</w:t>
            </w:r>
          </w:p>
        </w:tc>
      </w:tr>
      <w:tr>
        <w:trPr>
          <w:trHeight w:val="288" w:hRule="atLeast"/>
        </w:trPr>
        <w:tc>
          <w:tcPr>
            <w:tcW w:w="395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awarie sieci kanalizacyjnej</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8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r>
      <w:tr>
        <w:trPr>
          <w:trHeight w:val="288" w:hRule="atLeast"/>
        </w:trPr>
        <w:tc>
          <w:tcPr>
            <w:tcW w:w="3955" w:type="dxa"/>
            <w:tcBorders>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ludność korzystająca z  sieci kanalizacyjnej (osoba)</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842</w:t>
            </w:r>
          </w:p>
        </w:tc>
        <w:tc>
          <w:tcPr>
            <w:tcW w:w="85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807</w:t>
            </w:r>
          </w:p>
        </w:tc>
        <w:tc>
          <w:tcPr>
            <w:tcW w:w="86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858</w:t>
            </w:r>
          </w:p>
        </w:tc>
        <w:tc>
          <w:tcPr>
            <w:tcW w:w="851"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866</w:t>
            </w:r>
          </w:p>
        </w:tc>
        <w:tc>
          <w:tcPr>
            <w:tcW w:w="852"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874</w:t>
            </w:r>
          </w:p>
        </w:tc>
        <w:tc>
          <w:tcPr>
            <w:tcW w:w="85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881</w:t>
            </w:r>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Spacing"/>
        <w:rPr>
          <w:rFonts w:ascii="Calibri" w:hAnsi="Calibri" w:eastAsia="SimSun" w:cs="Calibri" w:asciiTheme="minorHAnsi" w:cstheme="minorHAnsi" w:hAnsiTheme="minorHAnsi"/>
          <w:b/>
          <w:b/>
          <w:bCs/>
        </w:rPr>
      </w:pPr>
      <w:r>
        <w:rPr>
          <w:rFonts w:eastAsia="SimSun" w:cs="Calibri" w:cstheme="minorHAnsi"/>
          <w:b/>
          <w:bCs/>
        </w:rPr>
      </w:r>
    </w:p>
    <w:p>
      <w:pPr>
        <w:pStyle w:val="NoSpacing"/>
        <w:jc w:val="center"/>
        <w:rPr>
          <w:rFonts w:ascii="Calibri" w:hAnsi="Calibri" w:eastAsia="SimSun" w:cs="Calibri" w:asciiTheme="minorHAnsi" w:cstheme="minorHAnsi" w:hAnsiTheme="minorHAnsi"/>
          <w:b/>
          <w:b/>
          <w:bCs/>
          <w:sz w:val="20"/>
          <w:szCs w:val="20"/>
        </w:rPr>
      </w:pPr>
      <w:bookmarkStart w:id="117" w:name="_Hlk118557904"/>
      <w:bookmarkStart w:id="118" w:name="_Toc118887764"/>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15</w:t>
      </w:r>
      <w:r>
        <w:rPr>
          <w:sz w:val="20"/>
          <w:szCs w:val="20"/>
          <w:rFonts w:cs="Calibri"/>
        </w:rPr>
        <w:fldChar w:fldCharType="end"/>
      </w:r>
      <w:r>
        <w:rPr>
          <w:rFonts w:cs="Calibri" w:cstheme="minorHAnsi"/>
          <w:sz w:val="20"/>
          <w:szCs w:val="20"/>
        </w:rPr>
        <w:t xml:space="preserve"> Dostęp poszczególnych sołectw Gminy Dwikozy do sieci wodociągowej i kanalizacyjnej wg stanu na 30.06.2022r.</w:t>
      </w:r>
      <w:bookmarkEnd w:id="118"/>
    </w:p>
    <w:tbl>
      <w:tblPr>
        <w:tblW w:w="8922"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552"/>
        <w:gridCol w:w="3250"/>
        <w:gridCol w:w="2488"/>
        <w:gridCol w:w="2631"/>
      </w:tblGrid>
      <w:tr>
        <w:trPr>
          <w:trHeight w:val="108" w:hRule="atLeast"/>
        </w:trPr>
        <w:tc>
          <w:tcPr>
            <w:tcW w:w="55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L.p.</w:t>
            </w:r>
          </w:p>
        </w:tc>
        <w:tc>
          <w:tcPr>
            <w:tcW w:w="325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Sołectwo</w:t>
            </w:r>
          </w:p>
        </w:tc>
        <w:tc>
          <w:tcPr>
            <w:tcW w:w="2488"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 xml:space="preserve"> </w:t>
            </w:r>
            <w:r>
              <w:rPr>
                <w:rFonts w:eastAsia="Times New Roman" w:cs="Calibri" w:cstheme="minorHAnsi"/>
                <w:b/>
                <w:bCs/>
                <w:color w:val="000000"/>
                <w:lang w:eastAsia="pl-PL"/>
              </w:rPr>
              <w:t>Wodociąg [tak/nie/częściowo]</w:t>
            </w:r>
          </w:p>
        </w:tc>
        <w:tc>
          <w:tcPr>
            <w:tcW w:w="263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Kanalizacja [tak/nie/częściowo]</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Dwikozy</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CZĘŚCIOWO</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Bożydar</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3.</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Buczek</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Czermin</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Gałkowice</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Gierlachów</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7.</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Góry Wysokie</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Kamień Łukawski</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9.</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Kępa Chwałowska</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10.</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Kolonia Gałkowice</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11.</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Mściów</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12.</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Nowe Kichary</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13.</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Nowy Garbów</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14.</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Nowy Kamień</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Romanówka</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16.</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Rzeczyca Mokra</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17.</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Rzeczyca Sucha</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18.</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Słupcza</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19.</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Stare Kichary</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20.</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Stary Garbów</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21.</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Szczytniki</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22.</w:t>
            </w:r>
          </w:p>
        </w:tc>
        <w:tc>
          <w:tcPr>
            <w:tcW w:w="325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Winiarki</w:t>
            </w:r>
          </w:p>
        </w:tc>
        <w:tc>
          <w:tcPr>
            <w:tcW w:w="248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r>
        <w:trPr>
          <w:trHeight w:val="231"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23.</w:t>
            </w:r>
          </w:p>
        </w:tc>
        <w:tc>
          <w:tcPr>
            <w:tcW w:w="32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Winiary</w:t>
            </w:r>
          </w:p>
        </w:tc>
        <w:tc>
          <w:tcPr>
            <w:tcW w:w="24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26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w:t>
            </w:r>
          </w:p>
        </w:tc>
      </w:tr>
    </w:tbl>
    <w:p>
      <w:pPr>
        <w:pStyle w:val="NoSpacing"/>
        <w:jc w:val="center"/>
        <w:rPr>
          <w:rFonts w:cs="Calibri" w:cstheme="minorHAnsi"/>
        </w:rPr>
      </w:pPr>
      <w:bookmarkStart w:id="119" w:name="_Hlk118557904"/>
      <w:r>
        <w:rPr>
          <w:rFonts w:cs="Calibri" w:cstheme="minorHAnsi"/>
          <w:sz w:val="20"/>
          <w:szCs w:val="20"/>
        </w:rPr>
        <w:t>Źródło: dane Urzędu Gminy w Dwikozach</w:t>
      </w:r>
      <w:bookmarkEnd w:id="119"/>
      <w:r>
        <w:br w:type="page"/>
      </w:r>
    </w:p>
    <w:p>
      <w:pPr>
        <w:pStyle w:val="Normal"/>
        <w:spacing w:lineRule="auto" w:line="240" w:before="0" w:after="0"/>
        <w:rPr>
          <w:rFonts w:eastAsia="SimSun" w:cs="Calibri" w:cstheme="minorHAnsi"/>
          <w:b/>
          <w:b/>
          <w:bCs/>
          <w:lang w:eastAsia="zh-CN"/>
        </w:rPr>
      </w:pPr>
      <w:r>
        <w:rPr>
          <w:rFonts w:eastAsia="SimSun" w:cs="Calibri" w:cstheme="minorHAnsi"/>
          <w:b/>
          <w:bCs/>
        </w:rPr>
        <w:t xml:space="preserve">Potrzeby inwestycyjne Gminy Dwikozy </w:t>
      </w:r>
      <w:r>
        <w:rPr>
          <w:rFonts w:cs="Calibri" w:cstheme="minorHAnsi"/>
          <w:b/>
          <w:bCs/>
        </w:rPr>
        <w:t>w obszarze infrastruktury wodno-kanalizacyjnej</w:t>
      </w:r>
    </w:p>
    <w:p>
      <w:pPr>
        <w:pStyle w:val="Normal"/>
        <w:spacing w:lineRule="auto" w:line="240" w:before="0" w:after="0"/>
        <w:jc w:val="both"/>
        <w:rPr>
          <w:rFonts w:eastAsia="SimSun" w:cs="Calibri" w:cstheme="minorHAnsi"/>
        </w:rPr>
      </w:pPr>
      <w:r>
        <w:rPr>
          <w:rFonts w:eastAsia="SimSun" w:cs="Calibri" w:cstheme="minorHAnsi"/>
        </w:rPr>
        <w:t xml:space="preserve">Mimo znacznych inwestycji w tym obszarze w ostatnich latach, samorząd widzi potrzebę realizacji kolejnych inwestycji w infrastrukturę wodno – kanalizacyjną. W najbliższym czasie planowane są: </w:t>
      </w:r>
    </w:p>
    <w:p>
      <w:pPr>
        <w:pStyle w:val="Normal"/>
        <w:spacing w:lineRule="auto" w:line="240" w:before="0" w:after="0"/>
        <w:jc w:val="both"/>
        <w:rPr>
          <w:rFonts w:ascii="Calibri" w:hAnsi="Calibri" w:eastAsia="Times New Roman" w:cs="Calibri"/>
          <w:color w:val="000000"/>
          <w:lang w:eastAsia="pl-PL"/>
        </w:rPr>
      </w:pPr>
      <w:bookmarkStart w:id="120" w:name="_Toc69212082"/>
      <w:r>
        <w:rPr>
          <w:rFonts w:eastAsia="Times New Roman" w:cs="Calibri"/>
          <w:color w:val="000000"/>
          <w:lang w:eastAsia="pl-PL"/>
        </w:rPr>
        <w:t>1. Budowa, i/lub przebudowa (modernizacja) i częściowa wymiana sieci wodociągowej, w tym m.in.:</w:t>
      </w:r>
    </w:p>
    <w:p>
      <w:pPr>
        <w:pStyle w:val="Normal"/>
        <w:numPr>
          <w:ilvl w:val="0"/>
          <w:numId w:val="63"/>
        </w:numPr>
        <w:spacing w:lineRule="auto" w:line="240" w:before="0" w:after="0"/>
        <w:jc w:val="both"/>
        <w:rPr>
          <w:rFonts w:ascii="Calibri" w:hAnsi="Calibri" w:eastAsia="Calibri" w:cs="Times New Roman"/>
        </w:rPr>
      </w:pPr>
      <w:r>
        <w:rPr>
          <w:rFonts w:eastAsia="Calibri" w:cs="Times New Roman"/>
        </w:rPr>
        <w:t>budowa odcinka wodociągu łączącego wodociągi Gałkowice-Stare Kichary z wodociągiem Góry Wysokie,</w:t>
      </w:r>
    </w:p>
    <w:p>
      <w:pPr>
        <w:pStyle w:val="Normal"/>
        <w:numPr>
          <w:ilvl w:val="0"/>
          <w:numId w:val="63"/>
        </w:numPr>
        <w:spacing w:lineRule="auto" w:line="240" w:before="0" w:after="0"/>
        <w:jc w:val="both"/>
        <w:rPr>
          <w:rFonts w:ascii="Calibri" w:hAnsi="Calibri" w:eastAsia="Calibri" w:cs="Times New Roman"/>
        </w:rPr>
      </w:pPr>
      <w:r>
        <w:rPr>
          <w:rFonts w:eastAsia="Calibri" w:cs="Times New Roman"/>
        </w:rPr>
        <w:t xml:space="preserve">budowa dwóch odcinków wodociągów (1. Nowy Kamień - Kanień Łukawski i 2. Kamień Łukawski-Kamień Łukawski) oraz stacji podnoszenia ciśnienia, celem doprowadzenia wody z ujęcia </w:t>
        <w:br/>
        <w:t>w Winiarach do miejscowości Kamień Łukawski, gdzie dotychczas dostarczana mieszkańcom bieżąca woda jest kupowana od PGKiM Sp. z o.o. w Sandomierzu,</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2. Budowa kanalizacji sanitarnej w kolejnych miejscowościach, gdzie taka sieć jest uzasadniona ekonomicznie.</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3. Budowa przydomowych oczyszczalni ścieków w miejscowościach, w których nie będzie budowana sieć kanalizacyjna.</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4. Rozbudowa monitoringu sieci zarówno wodociągowej jak i kanalizacyjnej.</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5. Przebudowa i/lub rozbudowa i/lub modernizacja Oczyszczalni Ścieków w Dwikozach m.in.</w:t>
      </w:r>
      <w:r>
        <w:rPr>
          <w:rFonts w:eastAsia="Calibri" w:cs="Times New Roman"/>
        </w:rPr>
        <w:t xml:space="preserve"> montaż dmuchawy na łożyskach powietrznych napędzanej wysokoobrotowym silnikiem synchronicznym).</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6. Modernizacja pompowni ścieków w ramach sieci kanalizacyjnej.</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7. Budowa sieci wodociągowej na obszarach, gdzie powstają nowe budynki mieszkalne.</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 xml:space="preserve">8. Opracowanie koncepcji i budowa kanalizacji deszczowej na terenie wybranych miejscowości </w:t>
        <w:br/>
        <w:t xml:space="preserve">(w zwartej zabudowie), gdzie taka kanalizacja jest uzasadniona. </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9. Zakup ciągników, wozów asenizacyjnych oraz innego doposażenie dla potrzeb Zakładu Gospodarki Komunalnej w Dwikozach do obsługi mieszkańców.</w:t>
      </w:r>
    </w:p>
    <w:p>
      <w:pPr>
        <w:pStyle w:val="Normal"/>
        <w:spacing w:lineRule="auto" w:line="240" w:before="0" w:after="0"/>
        <w:rPr>
          <w:rFonts w:ascii="Calibri" w:hAnsi="Calibri" w:eastAsia="Calibri" w:cs="Times New Roman"/>
        </w:rPr>
      </w:pPr>
      <w:r>
        <w:rPr>
          <w:rFonts w:eastAsia="Calibri" w:cs="Times New Roman"/>
        </w:rPr>
        <w:t>10. Modernizacja sieci hydrantów wraz z inwentaryzacją i pomiarami ciśnienia.</w:t>
      </w:r>
    </w:p>
    <w:p>
      <w:pPr>
        <w:pStyle w:val="Normal"/>
        <w:spacing w:lineRule="auto" w:line="240" w:before="0" w:after="0"/>
        <w:rPr>
          <w:rFonts w:ascii="Calibri" w:hAnsi="Calibri" w:eastAsia="Calibri" w:cs="Times New Roman"/>
        </w:rPr>
      </w:pPr>
      <w:r>
        <w:rPr>
          <w:rFonts w:eastAsia="Calibri" w:cs="Times New Roman"/>
        </w:rPr>
        <w:t>11. Wymiana i modernizacja zasuw sieciowych wraz z inwentaryzacją.</w:t>
      </w:r>
    </w:p>
    <w:p>
      <w:pPr>
        <w:pStyle w:val="Normal"/>
        <w:spacing w:lineRule="auto" w:line="240" w:before="0" w:after="0"/>
        <w:jc w:val="both"/>
        <w:rPr/>
      </w:pPr>
      <w:r>
        <w:rPr/>
        <w:t>12. Zakup i wymiana sprzętu specjalistycznego do obsługi obiektów i urządzeń wodociągowych.</w:t>
      </w:r>
    </w:p>
    <w:p>
      <w:pPr>
        <w:pStyle w:val="ListParagraph"/>
        <w:spacing w:lineRule="auto" w:line="240" w:before="0" w:after="0"/>
        <w:jc w:val="both"/>
        <w:rPr>
          <w:rFonts w:ascii="Calibri" w:hAnsi="Calibri" w:eastAsia="SimSun" w:cs="Calibri" w:asciiTheme="minorHAnsi" w:cstheme="minorHAnsi" w:hAnsiTheme="minorHAnsi"/>
        </w:rPr>
      </w:pPr>
      <w:r>
        <w:rPr>
          <w:rFonts w:eastAsia="SimSun" w:cs="Calibri" w:cstheme="minorHAnsi"/>
        </w:rPr>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rPr>
      </w:pPr>
      <w:bookmarkStart w:id="121" w:name="_Toc69212082"/>
      <w:bookmarkStart w:id="122" w:name="_Toc118887460"/>
      <w:r>
        <w:rPr>
          <w:rFonts w:cs="Calibri" w:ascii="Calibri" w:hAnsi="Calibri" w:asciiTheme="minorHAnsi" w:cstheme="minorHAnsi" w:hAnsiTheme="minorHAnsi"/>
          <w:i w:val="false"/>
          <w:iCs w:val="false"/>
        </w:rPr>
        <w:t>Gospodarka odpadami</w:t>
      </w:r>
      <w:bookmarkEnd w:id="121"/>
      <w:bookmarkEnd w:id="122"/>
    </w:p>
    <w:p>
      <w:pPr>
        <w:pStyle w:val="Normal"/>
        <w:spacing w:lineRule="auto" w:line="240" w:before="0" w:after="0"/>
        <w:jc w:val="both"/>
        <w:rPr>
          <w:rFonts w:eastAsia="ArialMT" w:cs="Calibri" w:cstheme="minorHAnsi"/>
        </w:rPr>
      </w:pPr>
      <w:bookmarkStart w:id="123" w:name="_Toc480287604"/>
      <w:bookmarkEnd w:id="123"/>
      <w:r>
        <w:rPr>
          <w:rFonts w:eastAsia="ArialMT" w:cs="Calibri" w:cstheme="minorHAnsi"/>
        </w:rPr>
        <w:t xml:space="preserve">Gospodarką odpadami na terenie Gminy Dwikozy zajmuje się obecnie Ekologiczny Związek Gmin Dorzecza Koprzywianki. Członkami Związku, oficjalnie zarejestrowanego 27 kwietnia 1994 r., </w:t>
        <w:br/>
        <w:t>jest 11 gmin byłego województwa tarnobrzeskiego, obecnie świętokrzyskiego: Baćkowice, Bogoria, Iwaniska, Klimontów, Koprzywnica, Łoniów, Samborzec, Sandomierz, od 2000 roku Lipnik, Obrazów, Opatów, od 2011 roku Sadowie oraz Osiek i Dwikozy od 2013 roku.</w:t>
      </w:r>
    </w:p>
    <w:p>
      <w:pPr>
        <w:pStyle w:val="Normal"/>
        <w:spacing w:lineRule="auto" w:line="240" w:before="0" w:after="0"/>
        <w:jc w:val="both"/>
        <w:rPr>
          <w:rFonts w:eastAsia="ArialMT" w:cs="Calibri" w:cstheme="minorHAnsi"/>
        </w:rPr>
      </w:pPr>
      <w:r>
        <w:rPr>
          <w:rFonts w:eastAsia="ArialMT" w:cs="Calibri" w:cstheme="minorHAnsi"/>
        </w:rPr>
        <w:t xml:space="preserve">Miejscem zagospodarowania przez podmioty odbierające odpady komunalne od właścicieli nieruchomości z terenu Związku jest  RIPOK tj. Zakład Utylizacji Odpadów Komunalnych </w:t>
        <w:br/>
        <w:t>w Janczycach gm. Baćkowice. Również na terenie Zakładu zlokalizowany jest Punkt Selektywnej Zbiórki Odpadów Komunalnych (PSZOK).</w:t>
      </w:r>
    </w:p>
    <w:p>
      <w:pPr>
        <w:pStyle w:val="Normal"/>
        <w:spacing w:lineRule="auto" w:line="240" w:before="0" w:after="0"/>
        <w:jc w:val="both"/>
        <w:rPr>
          <w:rFonts w:eastAsia="ArialMT" w:cs="Calibri" w:cstheme="minorHAnsi"/>
        </w:rPr>
      </w:pPr>
      <w:r>
        <w:rPr>
          <w:rFonts w:eastAsia="ArialMT" w:cs="Calibri" w:cstheme="minorHAnsi"/>
        </w:rPr>
        <w:t>Warto zwrócić uwagę, że na terenie zakładu znajdują się 3 instalacje służące do zagospodarowania odpadów:</w:t>
      </w:r>
    </w:p>
    <w:p>
      <w:pPr>
        <w:pStyle w:val="ListParagraph"/>
        <w:numPr>
          <w:ilvl w:val="0"/>
          <w:numId w:val="52"/>
        </w:numPr>
        <w:spacing w:lineRule="auto" w:line="240" w:before="0" w:after="0"/>
        <w:jc w:val="both"/>
        <w:rPr>
          <w:rFonts w:eastAsia="ArialMT" w:cs="Calibri" w:cstheme="minorHAnsi"/>
        </w:rPr>
      </w:pPr>
      <w:r>
        <w:rPr>
          <w:rFonts w:eastAsia="ArialMT" w:cs="Calibri" w:cstheme="minorHAnsi"/>
        </w:rPr>
        <w:t>instalacja mechanicznego przetwarzania odpadów, która służy do przetwarzania odpadów komunalnych zmieszanych oraz odpadów pochodzących z selektywnej zbiórki. Zakład odzyskuje surowce wtórne takie jak: papier, tworzywa sztuczne, szkło, opakowania wielomateriałowe, metale żelazne i nieżelazne.</w:t>
      </w:r>
    </w:p>
    <w:p>
      <w:pPr>
        <w:pStyle w:val="ListParagraph"/>
        <w:numPr>
          <w:ilvl w:val="0"/>
          <w:numId w:val="52"/>
        </w:numPr>
        <w:spacing w:lineRule="auto" w:line="240" w:before="0" w:after="0"/>
        <w:jc w:val="both"/>
        <w:rPr>
          <w:rFonts w:eastAsia="ArialMT" w:cs="Calibri" w:cstheme="minorHAnsi"/>
        </w:rPr>
      </w:pPr>
      <w:r>
        <w:rPr>
          <w:rFonts w:eastAsia="ArialMT" w:cs="Calibri" w:cstheme="minorHAnsi"/>
        </w:rPr>
        <w:t>Kompostownia - instalacja do stabilizacji odpadów biodegradowalnych składa się z trzech modułów systemu Biodegma oraz placu dojrzewania o powierzchni 7 tys. m</w:t>
      </w:r>
      <w:r>
        <w:rPr>
          <w:rFonts w:eastAsia="ArialMT" w:cs="Calibri"/>
        </w:rPr>
        <w:t>²</w:t>
      </w:r>
      <w:r>
        <w:rPr>
          <w:rFonts w:eastAsia="ArialMT" w:cs="Calibri" w:cstheme="minorHAnsi"/>
        </w:rPr>
        <w:t>.</w:t>
      </w:r>
    </w:p>
    <w:p>
      <w:pPr>
        <w:pStyle w:val="ListParagraph"/>
        <w:numPr>
          <w:ilvl w:val="0"/>
          <w:numId w:val="52"/>
        </w:numPr>
        <w:spacing w:lineRule="auto" w:line="240" w:before="0" w:after="0"/>
        <w:jc w:val="both"/>
        <w:rPr>
          <w:rFonts w:eastAsia="ArialMT" w:cs="Calibri" w:cstheme="minorHAnsi"/>
        </w:rPr>
      </w:pPr>
      <w:r>
        <w:rPr>
          <w:rFonts w:eastAsia="ArialMT" w:cs="Calibri" w:cstheme="minorHAnsi"/>
        </w:rPr>
        <w:t>kwatera składowania – składa się z dwóch kwater o powierzchni 3,64 ha. Deponowane są tu odpady pochodzące z mechanicznego przetwarzania komunalnych odpadów zmieszanych, pozostałości z sortowania oraz inne odpady, które nie nadają się do odzysku.</w:t>
      </w:r>
    </w:p>
    <w:p>
      <w:pPr>
        <w:pStyle w:val="Normal"/>
        <w:spacing w:lineRule="auto" w:line="240" w:before="0" w:after="0"/>
        <w:jc w:val="both"/>
        <w:rPr>
          <w:rFonts w:eastAsia="ArialMT" w:cs="Calibri" w:cstheme="minorHAnsi"/>
        </w:rPr>
      </w:pPr>
      <w:r>
        <w:rPr>
          <w:rFonts w:eastAsia="ArialMT" w:cs="Calibri" w:cstheme="minorHAnsi"/>
        </w:rPr>
      </w:r>
    </w:p>
    <w:p>
      <w:pPr>
        <w:pStyle w:val="Normal"/>
        <w:spacing w:lineRule="auto" w:line="240" w:before="0" w:after="0"/>
        <w:jc w:val="both"/>
        <w:rPr>
          <w:rFonts w:eastAsia="ArialMT" w:cs="Calibri" w:cstheme="minorHAnsi"/>
        </w:rPr>
      </w:pPr>
      <w:r>
        <w:rPr>
          <w:rFonts w:eastAsia="ArialMT" w:cs="Calibri" w:cstheme="minorHAnsi"/>
        </w:rPr>
        <w:t xml:space="preserve">Odpady komunalne odbierane są od mieszkańców zgodnie z corocznie opracowywanym harmonogramem odbioru odpadów. Odpady te powstają głównie w gospodarstwach domowych, ale również na terenach nieruchomości niezamieszkałych, takich jak: obiekty użyteczności publicznej (urząd gminy, ośrodek zdrowia, szkoły) oraz infrastruktury (handel, obiekty turystyczne, usługi). Są to także odpady z terenów otwartych, takie jak: odpady z koszy ulicznych, zmiotki, odpady </w:t>
        <w:br/>
        <w:t xml:space="preserve">z przystanków autobusowych oraz z cmentarzy. </w:t>
      </w:r>
    </w:p>
    <w:p>
      <w:pPr>
        <w:pStyle w:val="Normal"/>
        <w:spacing w:lineRule="auto" w:line="240" w:before="0" w:after="0"/>
        <w:jc w:val="both"/>
        <w:rPr>
          <w:rFonts w:eastAsia="ArialMT" w:cs="Calibri" w:cstheme="minorHAnsi"/>
          <w:highlight w:val="yellow"/>
        </w:rPr>
      </w:pPr>
      <w:r>
        <w:rPr>
          <w:rFonts w:eastAsia="ArialMT" w:cs="Calibri" w:cstheme="minorHAnsi"/>
          <w:highlight w:val="yellow"/>
        </w:rPr>
      </w:r>
    </w:p>
    <w:p>
      <w:pPr>
        <w:pStyle w:val="NoSpacing"/>
        <w:jc w:val="center"/>
        <w:rPr>
          <w:b/>
          <w:b/>
          <w:bCs/>
          <w:sz w:val="20"/>
          <w:szCs w:val="20"/>
        </w:rPr>
      </w:pPr>
      <w:bookmarkStart w:id="124" w:name="_Toc118887765"/>
      <w:bookmarkStart w:id="125" w:name="_Toc66173010"/>
      <w:r>
        <w:rPr>
          <w:sz w:val="20"/>
          <w:szCs w:val="20"/>
        </w:rPr>
        <w:t xml:space="preserve">Tabela </w:t>
      </w:r>
      <w:r>
        <w:rPr>
          <w:b/>
          <w:bCs/>
          <w:sz w:val="20"/>
          <w:szCs w:val="20"/>
        </w:rPr>
        <w:fldChar w:fldCharType="begin"/>
      </w:r>
      <w:r>
        <w:rPr>
          <w:sz w:val="20"/>
          <w:b/>
          <w:szCs w:val="20"/>
          <w:bCs/>
        </w:rPr>
        <w:instrText xml:space="preserve"> SEQ Tabela \* ARABIC </w:instrText>
      </w:r>
      <w:r>
        <w:rPr>
          <w:sz w:val="20"/>
          <w:b/>
          <w:szCs w:val="20"/>
          <w:bCs/>
        </w:rPr>
        <w:fldChar w:fldCharType="separate"/>
      </w:r>
      <w:r>
        <w:rPr>
          <w:sz w:val="20"/>
          <w:b/>
          <w:szCs w:val="20"/>
          <w:bCs/>
        </w:rPr>
        <w:t>16</w:t>
      </w:r>
      <w:r>
        <w:rPr>
          <w:sz w:val="20"/>
          <w:b/>
          <w:szCs w:val="20"/>
          <w:bCs/>
        </w:rPr>
        <w:fldChar w:fldCharType="end"/>
      </w:r>
      <w:r>
        <w:rPr>
          <w:sz w:val="20"/>
          <w:szCs w:val="20"/>
        </w:rPr>
        <w:t xml:space="preserve"> </w:t>
      </w:r>
      <w:bookmarkEnd w:id="125"/>
      <w:r>
        <w:rPr>
          <w:rStyle w:val="FontStyle241"/>
          <w:rFonts w:cs="Calibri" w:cstheme="minorHAnsi"/>
          <w:sz w:val="20"/>
          <w:szCs w:val="20"/>
        </w:rPr>
        <w:t>Zmieszane odpady zebrane w ciągu roku na terenie Gminy Dwikozy w latach 2017-2021</w:t>
      </w:r>
      <w:bookmarkEnd w:id="124"/>
    </w:p>
    <w:tbl>
      <w:tblPr>
        <w:tblW w:w="927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065"/>
        <w:gridCol w:w="1006"/>
        <w:gridCol w:w="1115"/>
        <w:gridCol w:w="937"/>
        <w:gridCol w:w="1015"/>
        <w:gridCol w:w="1000"/>
        <w:gridCol w:w="1136"/>
      </w:tblGrid>
      <w:tr>
        <w:trPr>
          <w:trHeight w:val="256" w:hRule="atLeast"/>
        </w:trPr>
        <w:tc>
          <w:tcPr>
            <w:tcW w:w="3065"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W</w:t>
            </w:r>
            <w:r>
              <w:rPr>
                <w:rFonts w:eastAsia="Times New Roman"/>
                <w:b/>
                <w:bCs/>
                <w:lang w:eastAsia="pl-PL"/>
              </w:rPr>
              <w:t>yszczególnienie</w:t>
            </w:r>
          </w:p>
        </w:tc>
        <w:tc>
          <w:tcPr>
            <w:tcW w:w="100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Jedn. miary</w:t>
            </w:r>
          </w:p>
        </w:tc>
        <w:tc>
          <w:tcPr>
            <w:tcW w:w="1115"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2017</w:t>
            </w:r>
          </w:p>
        </w:tc>
        <w:tc>
          <w:tcPr>
            <w:tcW w:w="93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2018</w:t>
            </w:r>
          </w:p>
        </w:tc>
        <w:tc>
          <w:tcPr>
            <w:tcW w:w="1015"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2019</w:t>
            </w:r>
          </w:p>
        </w:tc>
        <w:tc>
          <w:tcPr>
            <w:tcW w:w="100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2020</w:t>
            </w:r>
          </w:p>
        </w:tc>
        <w:tc>
          <w:tcPr>
            <w:tcW w:w="113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keepNext w:val="true"/>
              <w:keepLines/>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2021</w:t>
            </w:r>
          </w:p>
        </w:tc>
      </w:tr>
      <w:tr>
        <w:trPr>
          <w:trHeight w:val="256"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ogółem</w:t>
            </w:r>
          </w:p>
        </w:tc>
        <w:tc>
          <w:tcPr>
            <w:tcW w:w="10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t</w:t>
            </w:r>
          </w:p>
        </w:tc>
        <w:tc>
          <w:tcPr>
            <w:tcW w:w="1115"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1,162.90</w:t>
            </w:r>
          </w:p>
        </w:tc>
        <w:tc>
          <w:tcPr>
            <w:tcW w:w="937"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firstLine="2"/>
              <w:jc w:val="center"/>
              <w:rPr>
                <w:rFonts w:cs="Calibri" w:cstheme="minorHAnsi"/>
              </w:rPr>
            </w:pPr>
            <w:r>
              <w:rPr>
                <w:rFonts w:cs="Calibri" w:cstheme="minorHAnsi"/>
              </w:rPr>
              <w:t>1,145.14</w:t>
            </w:r>
          </w:p>
        </w:tc>
        <w:tc>
          <w:tcPr>
            <w:tcW w:w="1015"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1,149.16</w:t>
            </w:r>
          </w:p>
        </w:tc>
        <w:tc>
          <w:tcPr>
            <w:tcW w:w="100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1,112.22</w:t>
            </w:r>
          </w:p>
        </w:tc>
        <w:tc>
          <w:tcPr>
            <w:tcW w:w="113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1,171.80</w:t>
            </w:r>
          </w:p>
        </w:tc>
      </w:tr>
      <w:tr>
        <w:trPr>
          <w:trHeight w:val="256" w:hRule="atLeast"/>
        </w:trPr>
        <w:tc>
          <w:tcPr>
            <w:tcW w:w="306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ogółem na 1 mieszkańca</w:t>
            </w:r>
          </w:p>
        </w:tc>
        <w:tc>
          <w:tcPr>
            <w:tcW w:w="100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kg</w:t>
            </w:r>
          </w:p>
        </w:tc>
        <w:tc>
          <w:tcPr>
            <w:tcW w:w="1115"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ind w:firstLine="99"/>
              <w:jc w:val="center"/>
              <w:rPr>
                <w:rFonts w:cs="Calibri" w:cstheme="minorHAnsi"/>
              </w:rPr>
            </w:pPr>
            <w:r>
              <w:rPr>
                <w:rFonts w:cs="Calibri" w:cstheme="minorHAnsi"/>
              </w:rPr>
              <w:t>131.5</w:t>
            </w:r>
          </w:p>
        </w:tc>
        <w:tc>
          <w:tcPr>
            <w:tcW w:w="93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ind w:hanging="20"/>
              <w:jc w:val="center"/>
              <w:rPr>
                <w:rFonts w:cs="Calibri" w:cstheme="minorHAnsi"/>
              </w:rPr>
            </w:pPr>
            <w:r>
              <w:rPr>
                <w:rFonts w:cs="Calibri" w:cstheme="minorHAnsi"/>
              </w:rPr>
              <w:t>129.7</w:t>
            </w:r>
          </w:p>
        </w:tc>
        <w:tc>
          <w:tcPr>
            <w:tcW w:w="1015"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ind w:hanging="1"/>
              <w:jc w:val="center"/>
              <w:rPr>
                <w:rFonts w:cs="Calibri" w:cstheme="minorHAnsi"/>
              </w:rPr>
            </w:pPr>
            <w:r>
              <w:rPr>
                <w:rFonts w:cs="Calibri" w:cstheme="minorHAnsi"/>
              </w:rPr>
              <w:t>131.7</w:t>
            </w:r>
          </w:p>
        </w:tc>
        <w:tc>
          <w:tcPr>
            <w:tcW w:w="100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ind w:hanging="1"/>
              <w:jc w:val="center"/>
              <w:rPr>
                <w:rFonts w:cs="Calibri" w:cstheme="minorHAnsi"/>
              </w:rPr>
            </w:pPr>
            <w:r>
              <w:rPr>
                <w:rFonts w:cs="Calibri" w:cstheme="minorHAnsi"/>
              </w:rPr>
              <w:t>128.2</w:t>
            </w:r>
          </w:p>
        </w:tc>
        <w:tc>
          <w:tcPr>
            <w:tcW w:w="1136"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ind w:hanging="1"/>
              <w:jc w:val="center"/>
              <w:rPr>
                <w:rFonts w:cs="Calibri" w:cstheme="minorHAnsi"/>
              </w:rPr>
            </w:pPr>
            <w:r>
              <w:rPr>
                <w:rFonts w:cs="Calibri" w:cstheme="minorHAnsi"/>
              </w:rPr>
              <w:t>136.1</w:t>
            </w:r>
          </w:p>
        </w:tc>
      </w:tr>
      <w:tr>
        <w:trPr>
          <w:trHeight w:val="256"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 gospodarstw domowych</w:t>
            </w:r>
          </w:p>
        </w:tc>
        <w:tc>
          <w:tcPr>
            <w:tcW w:w="10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t</w:t>
            </w:r>
          </w:p>
        </w:tc>
        <w:tc>
          <w:tcPr>
            <w:tcW w:w="111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firstLine="99"/>
              <w:jc w:val="center"/>
              <w:rPr>
                <w:rFonts w:cs="Calibri" w:cstheme="minorHAnsi"/>
              </w:rPr>
            </w:pPr>
            <w:r>
              <w:rPr>
                <w:rFonts w:cs="Calibri" w:cstheme="minorHAnsi"/>
                <w:color w:val="000000"/>
              </w:rPr>
              <w:t>1,162.90</w:t>
            </w:r>
          </w:p>
        </w:tc>
        <w:tc>
          <w:tcPr>
            <w:tcW w:w="93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color w:val="000000"/>
              </w:rPr>
              <w:t>1,145.14</w:t>
            </w:r>
          </w:p>
        </w:tc>
        <w:tc>
          <w:tcPr>
            <w:tcW w:w="101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color w:val="000000"/>
              </w:rPr>
              <w:t>1,146.06</w:t>
            </w:r>
          </w:p>
        </w:tc>
        <w:tc>
          <w:tcPr>
            <w:tcW w:w="10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color w:val="000000"/>
              </w:rPr>
              <w:t>1,112.22</w:t>
            </w:r>
          </w:p>
        </w:tc>
        <w:tc>
          <w:tcPr>
            <w:tcW w:w="113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color w:val="000000"/>
              </w:rPr>
              <w:t>1,163.68</w:t>
            </w:r>
          </w:p>
        </w:tc>
      </w:tr>
      <w:tr>
        <w:trPr>
          <w:trHeight w:val="512"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odpady z gospodarstw domowych przypadające na 1 mieszkańca</w:t>
            </w:r>
          </w:p>
        </w:tc>
        <w:tc>
          <w:tcPr>
            <w:tcW w:w="10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kg</w:t>
            </w:r>
          </w:p>
        </w:tc>
        <w:tc>
          <w:tcPr>
            <w:tcW w:w="11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color w:val="000000"/>
              </w:rPr>
              <w:t>131.5</w:t>
            </w:r>
          </w:p>
        </w:tc>
        <w:tc>
          <w:tcPr>
            <w:tcW w:w="93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color w:val="000000"/>
              </w:rPr>
              <w:t>129.7</w:t>
            </w:r>
          </w:p>
        </w:tc>
        <w:tc>
          <w:tcPr>
            <w:tcW w:w="1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color w:val="000000"/>
              </w:rPr>
              <w:t>131.3</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color w:val="000000"/>
              </w:rPr>
              <w:t>128.2</w:t>
            </w:r>
          </w:p>
        </w:tc>
        <w:tc>
          <w:tcPr>
            <w:tcW w:w="11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color w:val="000000"/>
              </w:rPr>
              <w:t>135.1</w:t>
            </w:r>
          </w:p>
        </w:tc>
      </w:tr>
    </w:tbl>
    <w:p>
      <w:pPr>
        <w:pStyle w:val="Caption"/>
        <w:spacing w:lineRule="auto" w:line="240" w:before="0" w:after="0"/>
        <w:jc w:val="center"/>
        <w:rPr>
          <w:rFonts w:ascii="Calibri" w:hAnsi="Calibri" w:cs="Calibri" w:asciiTheme="minorHAnsi" w:cstheme="minorHAnsi" w:hAnsiTheme="minorHAnsi"/>
          <w:b w:val="false"/>
          <w:b w:val="false"/>
          <w:iCs/>
        </w:rPr>
      </w:pPr>
      <w:r>
        <w:rPr>
          <w:rFonts w:cs="Calibri" w:cstheme="minorHAnsi"/>
          <w:b w:val="false"/>
          <w:iCs/>
        </w:rPr>
        <w:t>Źródło: dane GUS Bank danych lokalnych</w:t>
      </w:r>
    </w:p>
    <w:p>
      <w:pPr>
        <w:pStyle w:val="Dtn"/>
        <w:shd w:val="clear" w:color="auto" w:fill="FFFFFF"/>
        <w:spacing w:beforeAutospacing="0" w:before="0" w:afterAutospacing="0" w:after="0"/>
        <w:jc w:val="both"/>
        <w:rPr>
          <w:rFonts w:ascii="Calibri" w:hAnsi="Calibri" w:cs="Calibri" w:asciiTheme="minorHAnsi" w:cstheme="minorHAnsi" w:hAnsiTheme="minorHAnsi"/>
          <w:sz w:val="22"/>
          <w:szCs w:val="22"/>
          <w:highlight w:val="yellow"/>
        </w:rPr>
      </w:pPr>
      <w:r>
        <w:rPr>
          <w:rFonts w:cs="Calibri" w:cstheme="minorHAnsi" w:ascii="Calibri" w:hAnsi="Calibri"/>
          <w:sz w:val="22"/>
          <w:szCs w:val="22"/>
          <w:highlight w:val="yellow"/>
        </w:rPr>
      </w:r>
    </w:p>
    <w:p>
      <w:pPr>
        <w:pStyle w:val="Dtn"/>
        <w:shd w:val="clear" w:color="auto" w:fill="FFFFFF"/>
        <w:spacing w:beforeAutospacing="0" w:before="0" w:afterAutospacing="0" w:after="0"/>
        <w:jc w:val="both"/>
        <w:rPr>
          <w:rFonts w:ascii="Calibri" w:hAnsi="Calibri" w:cs="Calibri" w:asciiTheme="minorHAnsi" w:cstheme="minorHAnsi" w:hAnsiTheme="minorHAnsi"/>
          <w:b/>
          <w:b/>
          <w:bCs/>
          <w:i/>
          <w:i/>
          <w:iCs/>
          <w:sz w:val="22"/>
          <w:szCs w:val="22"/>
        </w:rPr>
      </w:pPr>
      <w:r>
        <w:rPr>
          <w:rFonts w:cs="Calibri" w:ascii="Calibri" w:hAnsi="Calibri" w:asciiTheme="minorHAnsi" w:cstheme="minorHAnsi" w:hAnsiTheme="minorHAnsi"/>
          <w:b/>
          <w:bCs/>
          <w:i/>
          <w:iCs/>
          <w:sz w:val="22"/>
          <w:szCs w:val="22"/>
        </w:rPr>
        <w:t xml:space="preserve">Odpady zbierane selektywnie </w:t>
      </w:r>
    </w:p>
    <w:p>
      <w:pPr>
        <w:pStyle w:val="Dtn"/>
        <w:shd w:val="clear" w:color="auto" w:fill="FFFFFF"/>
        <w:spacing w:beforeAutospacing="0" w:before="0" w:afterAutospacing="0" w:after="0"/>
        <w:jc w:val="both"/>
        <w:rPr>
          <w:rFonts w:ascii="Calibri" w:hAnsi="Calibri" w:eastAsia="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Na terenie gminy nie ma czynnego składowiska odpadów i nie ma możliwości odzyskiwania biogazu ze składowisk. </w:t>
      </w:r>
      <w:r>
        <w:rPr>
          <w:rFonts w:eastAsia="Calibri" w:cs="Calibri" w:ascii="Calibri" w:hAnsi="Calibri" w:asciiTheme="minorHAnsi" w:cstheme="minorHAnsi" w:hAnsiTheme="minorHAnsi"/>
          <w:sz w:val="22"/>
          <w:szCs w:val="22"/>
        </w:rPr>
        <w:t xml:space="preserve">Mieszkańcy gminy zamieszkują głownie w zabudowie jednorodzinnej i to oni są głównymi wytwórcami odpadów komunalnych. </w:t>
      </w:r>
    </w:p>
    <w:p>
      <w:pPr>
        <w:pStyle w:val="Normal"/>
        <w:spacing w:lineRule="auto" w:line="240" w:before="0" w:after="0"/>
        <w:jc w:val="both"/>
        <w:rPr>
          <w:rFonts w:eastAsia="ArialMT" w:cs="Calibri" w:cstheme="minorHAnsi"/>
        </w:rPr>
      </w:pPr>
      <w:r>
        <w:rPr>
          <w:rFonts w:eastAsia="ArialMT" w:cs="Calibri" w:cstheme="minorHAnsi"/>
        </w:rPr>
        <w:t>Mieszkańcy gminy, odpady zebrane selektywnie gromadzą w kolorowych workach z tworzywa sztucznego o pojemności 120 l, i tak:</w:t>
      </w:r>
    </w:p>
    <w:p>
      <w:pPr>
        <w:pStyle w:val="ListParagraph"/>
        <w:numPr>
          <w:ilvl w:val="0"/>
          <w:numId w:val="20"/>
        </w:numPr>
        <w:spacing w:lineRule="auto" w:line="240" w:before="0" w:after="0"/>
        <w:contextualSpacing/>
        <w:jc w:val="both"/>
        <w:rPr>
          <w:rFonts w:ascii="Calibri" w:hAnsi="Calibri" w:eastAsia="ArialMT" w:cs="Calibri" w:asciiTheme="minorHAnsi" w:cstheme="minorHAnsi" w:hAnsiTheme="minorHAnsi"/>
        </w:rPr>
      </w:pPr>
      <w:r>
        <w:rPr>
          <w:rFonts w:eastAsia="ArialMT" w:cs="Calibri" w:cstheme="minorHAnsi"/>
        </w:rPr>
        <w:t>worek koloru żółtego – tworzywa sztuczne, opakowania wielomateriałowe,</w:t>
      </w:r>
    </w:p>
    <w:p>
      <w:pPr>
        <w:pStyle w:val="ListParagraph"/>
        <w:numPr>
          <w:ilvl w:val="0"/>
          <w:numId w:val="19"/>
        </w:numPr>
        <w:spacing w:lineRule="auto" w:line="240" w:before="0" w:after="0"/>
        <w:contextualSpacing/>
        <w:jc w:val="both"/>
        <w:rPr>
          <w:rFonts w:ascii="Calibri" w:hAnsi="Calibri" w:eastAsia="ArialMT" w:cs="Calibri" w:asciiTheme="minorHAnsi" w:cstheme="minorHAnsi" w:hAnsiTheme="minorHAnsi"/>
        </w:rPr>
      </w:pPr>
      <w:r>
        <w:rPr>
          <w:rFonts w:eastAsia="ArialMT" w:cs="Calibri" w:cstheme="minorHAnsi"/>
        </w:rPr>
        <w:t>metal,</w:t>
      </w:r>
    </w:p>
    <w:p>
      <w:pPr>
        <w:pStyle w:val="ListParagraph"/>
        <w:numPr>
          <w:ilvl w:val="0"/>
          <w:numId w:val="20"/>
        </w:numPr>
        <w:spacing w:lineRule="auto" w:line="240" w:before="0" w:after="0"/>
        <w:contextualSpacing/>
        <w:jc w:val="both"/>
        <w:rPr>
          <w:rFonts w:ascii="Calibri" w:hAnsi="Calibri" w:eastAsia="ArialMT" w:cs="Calibri" w:asciiTheme="minorHAnsi" w:cstheme="minorHAnsi" w:hAnsiTheme="minorHAnsi"/>
        </w:rPr>
      </w:pPr>
      <w:r>
        <w:rPr>
          <w:rFonts w:eastAsia="ArialMT" w:cs="Calibri" w:cstheme="minorHAnsi"/>
        </w:rPr>
        <w:t>worek koloru niebieskiego – makulatura,</w:t>
      </w:r>
    </w:p>
    <w:p>
      <w:pPr>
        <w:pStyle w:val="ListParagraph"/>
        <w:numPr>
          <w:ilvl w:val="0"/>
          <w:numId w:val="20"/>
        </w:numPr>
        <w:spacing w:lineRule="auto" w:line="240" w:before="0" w:after="0"/>
        <w:contextualSpacing/>
        <w:jc w:val="both"/>
        <w:rPr>
          <w:rFonts w:ascii="Calibri" w:hAnsi="Calibri" w:eastAsia="ArialMT" w:cs="Calibri" w:asciiTheme="minorHAnsi" w:cstheme="minorHAnsi" w:hAnsiTheme="minorHAnsi"/>
        </w:rPr>
      </w:pPr>
      <w:r>
        <w:rPr>
          <w:rFonts w:eastAsia="ArialMT" w:cs="Calibri" w:cstheme="minorHAnsi"/>
        </w:rPr>
        <w:t>worek koloru zielonego – szkło,</w:t>
      </w:r>
    </w:p>
    <w:p>
      <w:pPr>
        <w:pStyle w:val="Dtn"/>
        <w:numPr>
          <w:ilvl w:val="0"/>
          <w:numId w:val="20"/>
        </w:numPr>
        <w:shd w:val="clear" w:color="auto" w:fill="FFFFFF"/>
        <w:spacing w:beforeAutospacing="0" w:before="0" w:afterAutospacing="0" w:after="0"/>
        <w:jc w:val="both"/>
        <w:rPr>
          <w:rFonts w:ascii="Calibri" w:hAnsi="Calibri" w:eastAsia="ArialMT" w:cs="Calibri" w:asciiTheme="minorHAnsi" w:cstheme="minorHAnsi" w:hAnsiTheme="minorHAnsi"/>
          <w:sz w:val="22"/>
          <w:szCs w:val="22"/>
        </w:rPr>
      </w:pPr>
      <w:r>
        <w:rPr>
          <w:rFonts w:eastAsia="ArialMT" w:cs="Calibri" w:ascii="Calibri" w:hAnsi="Calibri" w:asciiTheme="minorHAnsi" w:cstheme="minorHAnsi" w:hAnsiTheme="minorHAnsi"/>
          <w:sz w:val="22"/>
          <w:szCs w:val="22"/>
        </w:rPr>
        <w:t>worek koloru czarnego - niesegregowane zmieszane odpady komunalne.</w:t>
      </w:r>
    </w:p>
    <w:p>
      <w:pPr>
        <w:pStyle w:val="Caption"/>
        <w:spacing w:lineRule="auto" w:line="240" w:before="0" w:after="0"/>
        <w:rPr>
          <w:rFonts w:ascii="Calibri" w:hAnsi="Calibri" w:cs="Calibri" w:asciiTheme="minorHAnsi" w:cstheme="minorHAnsi" w:hAnsi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26" w:name="_Toc118887766"/>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17</w:t>
      </w:r>
      <w:r>
        <w:rPr>
          <w:b w:val="false"/>
          <w:bCs w:val="false"/>
          <w:rFonts w:cs="Calibri"/>
        </w:rPr>
        <w:fldChar w:fldCharType="end"/>
      </w:r>
      <w:r>
        <w:rPr>
          <w:rFonts w:cs="Calibri" w:cstheme="minorHAnsi"/>
          <w:b w:val="false"/>
          <w:bCs w:val="false"/>
        </w:rPr>
        <w:t xml:space="preserve"> Odpady zebrane selektywnie w relacji do ogółu odpadów (%) zebrane na terenie Gminy Dwikozy </w:t>
        <w:br/>
        <w:t>w latach 2017-2021</w:t>
      </w:r>
      <w:bookmarkEnd w:id="126"/>
    </w:p>
    <w:tbl>
      <w:tblPr>
        <w:tblStyle w:val="Tabela-Siatka1"/>
        <w:tblW w:w="831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337"/>
        <w:gridCol w:w="1139"/>
        <w:gridCol w:w="1040"/>
        <w:gridCol w:w="980"/>
        <w:gridCol w:w="933"/>
        <w:gridCol w:w="882"/>
      </w:tblGrid>
      <w:tr>
        <w:trPr>
          <w:trHeight w:val="288" w:hRule="atLeast"/>
        </w:trPr>
        <w:tc>
          <w:tcPr>
            <w:tcW w:w="3337"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lang w:val="en-US"/>
              </w:rPr>
            </w:pPr>
            <w:r>
              <w:rPr>
                <w:rFonts w:eastAsia="Times New Roman" w:cs="Calibri" w:cstheme="minorHAnsi"/>
                <w:kern w:val="0"/>
                <w:sz w:val="20"/>
                <w:szCs w:val="20"/>
                <w:lang w:val="en-US" w:eastAsia="en-US" w:bidi="ar-SA"/>
              </w:rPr>
              <w:t>kategoria</w:t>
            </w:r>
          </w:p>
        </w:tc>
        <w:tc>
          <w:tcPr>
            <w:tcW w:w="1139"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2017</w:t>
            </w:r>
          </w:p>
        </w:tc>
        <w:tc>
          <w:tcPr>
            <w:tcW w:w="1040"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2018</w:t>
            </w:r>
          </w:p>
        </w:tc>
        <w:tc>
          <w:tcPr>
            <w:tcW w:w="980"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2019</w:t>
            </w:r>
          </w:p>
        </w:tc>
        <w:tc>
          <w:tcPr>
            <w:tcW w:w="933"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2020</w:t>
            </w:r>
          </w:p>
        </w:tc>
        <w:tc>
          <w:tcPr>
            <w:tcW w:w="882"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2021</w:t>
            </w:r>
          </w:p>
        </w:tc>
      </w:tr>
      <w:tr>
        <w:trPr>
          <w:trHeight w:val="288" w:hRule="atLeast"/>
        </w:trPr>
        <w:tc>
          <w:tcPr>
            <w:tcW w:w="3337"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ogółem</w:t>
            </w:r>
          </w:p>
        </w:tc>
        <w:tc>
          <w:tcPr>
            <w:tcW w:w="113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22.5</w:t>
            </w:r>
          </w:p>
        </w:tc>
        <w:tc>
          <w:tcPr>
            <w:tcW w:w="1040"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23.4</w:t>
            </w:r>
          </w:p>
        </w:tc>
        <w:tc>
          <w:tcPr>
            <w:tcW w:w="980"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25.6</w:t>
            </w:r>
          </w:p>
        </w:tc>
        <w:tc>
          <w:tcPr>
            <w:tcW w:w="933"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27.1</w:t>
            </w:r>
          </w:p>
        </w:tc>
        <w:tc>
          <w:tcPr>
            <w:tcW w:w="88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29.4</w:t>
            </w:r>
          </w:p>
        </w:tc>
      </w:tr>
      <w:tr>
        <w:trPr>
          <w:trHeight w:val="288" w:hRule="atLeast"/>
        </w:trPr>
        <w:tc>
          <w:tcPr>
            <w:tcW w:w="3337"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z gospodarstw domowych</w:t>
            </w:r>
          </w:p>
        </w:tc>
        <w:tc>
          <w:tcPr>
            <w:tcW w:w="113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22.4</w:t>
            </w:r>
          </w:p>
        </w:tc>
        <w:tc>
          <w:tcPr>
            <w:tcW w:w="1040"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23.4</w:t>
            </w:r>
          </w:p>
        </w:tc>
        <w:tc>
          <w:tcPr>
            <w:tcW w:w="980"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25.6</w:t>
            </w:r>
          </w:p>
        </w:tc>
        <w:tc>
          <w:tcPr>
            <w:tcW w:w="933"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27.1</w:t>
            </w:r>
          </w:p>
        </w:tc>
        <w:tc>
          <w:tcPr>
            <w:tcW w:w="88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29.5</w:t>
            </w:r>
          </w:p>
        </w:tc>
      </w:tr>
      <w:tr>
        <w:trPr>
          <w:trHeight w:val="288" w:hRule="atLeast"/>
        </w:trPr>
        <w:tc>
          <w:tcPr>
            <w:tcW w:w="3337"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rPr>
            </w:pPr>
            <w:r>
              <w:rPr>
                <w:rFonts w:eastAsia="Times New Roman" w:cs="Calibri" w:cstheme="minorHAnsi"/>
                <w:color w:val="000000"/>
                <w:kern w:val="0"/>
                <w:sz w:val="20"/>
                <w:szCs w:val="20"/>
                <w:lang w:eastAsia="en-US" w:bidi="ar-SA"/>
              </w:rPr>
              <w:t>papier i tektura, metale, szkło i tworzywa sztuczne</w:t>
            </w:r>
          </w:p>
        </w:tc>
        <w:tc>
          <w:tcPr>
            <w:tcW w:w="113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1.1</w:t>
            </w:r>
          </w:p>
        </w:tc>
        <w:tc>
          <w:tcPr>
            <w:tcW w:w="1040"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0.1</w:t>
            </w:r>
          </w:p>
        </w:tc>
        <w:tc>
          <w:tcPr>
            <w:tcW w:w="980"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0.0</w:t>
            </w:r>
          </w:p>
        </w:tc>
        <w:tc>
          <w:tcPr>
            <w:tcW w:w="933"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6.7</w:t>
            </w:r>
          </w:p>
        </w:tc>
        <w:tc>
          <w:tcPr>
            <w:tcW w:w="88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lang w:val="en-US"/>
              </w:rPr>
            </w:pPr>
            <w:r>
              <w:rPr>
                <w:rFonts w:eastAsia="Times New Roman" w:cs="Calibri" w:cstheme="minorHAnsi"/>
                <w:color w:val="000000"/>
                <w:kern w:val="0"/>
                <w:sz w:val="20"/>
                <w:szCs w:val="20"/>
                <w:lang w:val="en-US" w:eastAsia="en-US" w:bidi="ar-SA"/>
              </w:rPr>
              <w:t>8.3</w:t>
            </w:r>
          </w:p>
        </w:tc>
      </w:tr>
    </w:tbl>
    <w:p>
      <w:pPr>
        <w:pStyle w:val="Normal"/>
        <w:spacing w:lineRule="auto" w:line="240" w:before="0" w:after="0"/>
        <w:jc w:val="center"/>
        <w:rPr>
          <w:rFonts w:cs="Calibri" w:cstheme="minorHAnsi"/>
          <w:iCs/>
          <w:sz w:val="20"/>
          <w:szCs w:val="20"/>
        </w:rPr>
      </w:pPr>
      <w:r>
        <w:rPr>
          <w:rFonts w:cs="Calibri" w:cstheme="minorHAnsi"/>
          <w:iCs/>
          <w:sz w:val="20"/>
          <w:szCs w:val="20"/>
        </w:rPr>
        <w:t>Źródło: dane GUS Bank danych lokalnych</w:t>
      </w:r>
    </w:p>
    <w:p>
      <w:pPr>
        <w:pStyle w:val="Normal"/>
        <w:spacing w:lineRule="auto" w:line="240" w:before="0" w:after="0"/>
        <w:jc w:val="both"/>
        <w:rPr>
          <w:rFonts w:eastAsia="ArialMT" w:cs="Calibri" w:cstheme="minorHAnsi"/>
          <w:highlight w:val="yellow"/>
        </w:rPr>
      </w:pPr>
      <w:r>
        <w:rPr>
          <w:rFonts w:eastAsia="ArialMT" w:cs="Calibri" w:cstheme="minorHAnsi"/>
          <w:highlight w:val="yellow"/>
        </w:rPr>
      </w:r>
      <w:bookmarkStart w:id="127" w:name="_Toc480287604"/>
      <w:bookmarkStart w:id="128" w:name="_Toc480287604"/>
      <w:bookmarkEnd w:id="128"/>
    </w:p>
    <w:p>
      <w:pPr>
        <w:pStyle w:val="Dtn"/>
        <w:shd w:val="clear" w:color="auto" w:fill="FFFFFF"/>
        <w:spacing w:beforeAutospacing="0" w:before="0" w:afterAutospacing="0" w:after="0"/>
        <w:jc w:val="both"/>
        <w:rPr>
          <w:rFonts w:ascii="Calibri" w:hAnsi="Calibri" w:eastAsia="Calibri" w:cs="Calibri" w:asciiTheme="minorHAnsi" w:cstheme="minorHAnsi" w:hAnsiTheme="minorHAnsi"/>
          <w:sz w:val="22"/>
          <w:szCs w:val="22"/>
        </w:rPr>
      </w:pPr>
      <w:r>
        <w:rPr>
          <w:rFonts w:eastAsia="Calibri" w:cs="Calibri" w:ascii="Calibri" w:hAnsi="Calibri" w:asciiTheme="minorHAnsi" w:cstheme="minorHAnsi" w:hAnsiTheme="minorHAnsi"/>
          <w:sz w:val="22"/>
          <w:szCs w:val="22"/>
        </w:rPr>
        <w:t>Potrzeby gminy w tym obszarze:</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1. Usuwanie azbestu z budynków użyteczności publicznej i prywatnych na terenie gminy.</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2. Współpraca z innymi samorządami w zakresie organizacji gospodarki odpadami.</w:t>
      </w:r>
    </w:p>
    <w:p>
      <w:pPr>
        <w:pStyle w:val="Normal"/>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3. Wyposażenie obiektów użyteczności w kosze do segregacji z tablicą informacyjną.</w:t>
      </w:r>
    </w:p>
    <w:p>
      <w:pPr>
        <w:pStyle w:val="Normal"/>
        <w:spacing w:lineRule="auto" w:line="240" w:before="0" w:after="0"/>
        <w:jc w:val="both"/>
        <w:rPr>
          <w:rFonts w:ascii="Calibri" w:hAnsi="Calibri" w:eastAsia="Calibri" w:cs="Times New Roman"/>
          <w:lang w:eastAsia="pl-PL"/>
        </w:rPr>
      </w:pPr>
      <w:r>
        <w:rPr>
          <w:rFonts w:eastAsia="Calibri" w:cs="Times New Roman"/>
        </w:rPr>
        <w:t>4. E</w:t>
      </w:r>
      <w:r>
        <w:rPr>
          <w:rFonts w:eastAsia="Calibri" w:cs="Times New Roman"/>
          <w:lang w:eastAsia="pl-PL"/>
        </w:rPr>
        <w:t xml:space="preserve">dukacja ekologiczna w tym programy skierowane dla dzieci w zakresie gospodarki odpadami, </w:t>
        <w:br/>
        <w:t>w tym m.in. p</w:t>
      </w:r>
      <w:r>
        <w:rPr>
          <w:rFonts w:eastAsia="Calibri" w:cs="Times New Roman"/>
        </w:rPr>
        <w:t>romocja kompostowania odpadów biodegradowalnych w gospodarstwach domowych.</w:t>
      </w:r>
    </w:p>
    <w:p>
      <w:pPr>
        <w:pStyle w:val="Normal"/>
        <w:spacing w:lineRule="auto" w:line="240" w:before="0" w:after="0"/>
        <w:jc w:val="both"/>
        <w:rPr>
          <w:rFonts w:ascii="Calibri" w:hAnsi="Calibri" w:eastAsia="Calibri" w:cs="Times New Roman"/>
        </w:rPr>
      </w:pPr>
      <w:r>
        <w:rPr>
          <w:rFonts w:eastAsia="Calibri" w:cs="Times New Roman"/>
        </w:rPr>
        <w:t xml:space="preserve">5. Dofinansowanie zbiórek odpadów niekwalifikujących się jako odpady komunalne, m.in. opony ponadwymiarowe (np. rolnicze), odbiór folii rolniczej, itp. </w:t>
      </w:r>
    </w:p>
    <w:p>
      <w:pPr>
        <w:pStyle w:val="Normal"/>
        <w:spacing w:lineRule="auto" w:line="240" w:before="0" w:after="0"/>
        <w:jc w:val="both"/>
        <w:rPr>
          <w:rFonts w:ascii="Calibri" w:hAnsi="Calibri" w:eastAsia="Calibri" w:cs="Times New Roman"/>
        </w:rPr>
      </w:pPr>
      <w:r>
        <w:rPr>
          <w:rFonts w:eastAsia="Calibri" w:cs="Times New Roman"/>
        </w:rPr>
        <w:t xml:space="preserve">6. Wyposażenie </w:t>
      </w:r>
      <w:r>
        <w:rPr>
          <w:rFonts w:eastAsia="Times New Roman" w:cs="Calibri"/>
          <w:color w:val="000000"/>
          <w:lang w:eastAsia="pl-PL"/>
        </w:rPr>
        <w:t xml:space="preserve">Zakładu Gospodarki Komunalnej w Dwikozach </w:t>
      </w:r>
      <w:r>
        <w:rPr>
          <w:rFonts w:eastAsia="Calibri" w:cs="Times New Roman"/>
        </w:rPr>
        <w:t>w maszyny, urządzenia i środki transportu służące do odbioru odpadów  komunalnych /w przypadku świadczenia usług odbioru/.</w:t>
      </w:r>
    </w:p>
    <w:p>
      <w:pPr>
        <w:pStyle w:val="NoSpacing"/>
        <w:jc w:val="both"/>
        <w:rPr/>
      </w:pPr>
      <w:r>
        <w:rPr/>
        <w:t>7. Zakup automatu kaucyjnego na zużyte butelki i puszki.</w:t>
      </w:r>
    </w:p>
    <w:p>
      <w:pPr>
        <w:pStyle w:val="Normal"/>
        <w:rPr>
          <w:rFonts w:ascii="Calibri" w:hAnsi="Calibri" w:eastAsia="Calibri" w:cs="Times New Roman"/>
        </w:rPr>
      </w:pPr>
      <w:r>
        <w:rPr>
          <w:rFonts w:eastAsia="Calibri" w:cs="Times New Roman"/>
        </w:rPr>
      </w:r>
      <w:r>
        <w:br w:type="page"/>
      </w:r>
    </w:p>
    <w:p>
      <w:pPr>
        <w:pStyle w:val="NoSpacing"/>
        <w:jc w:val="both"/>
        <w:rPr>
          <w:rFonts w:ascii="Calibri" w:hAnsi="Calibri" w:eastAsia="Times New Roman" w:cs="Calibri" w:asciiTheme="minorHAnsi" w:cstheme="minorHAnsi" w:hAnsiTheme="minorHAnsi"/>
          <w:color w:val="FF0000"/>
          <w:highlight w:val="yellow"/>
          <w:lang w:eastAsia="pl-PL"/>
        </w:rPr>
      </w:pPr>
      <w:r>
        <w:rPr>
          <w:rFonts w:eastAsia="Times New Roman" w:cs="Calibri" w:cstheme="minorHAnsi"/>
          <w:color w:val="FF0000"/>
          <w:highlight w:val="yellow"/>
          <w:lang w:eastAsia="pl-PL"/>
        </w:rPr>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rPr>
      </w:pPr>
      <w:bookmarkStart w:id="129" w:name="_Toc69212083"/>
      <w:r>
        <w:rPr>
          <w:rFonts w:cs="Calibri" w:ascii="Calibri" w:hAnsi="Calibri" w:asciiTheme="minorHAnsi" w:cstheme="minorHAnsi" w:hAnsiTheme="minorHAnsi"/>
          <w:i w:val="false"/>
          <w:iCs w:val="false"/>
        </w:rPr>
        <w:t xml:space="preserve"> </w:t>
      </w:r>
      <w:bookmarkStart w:id="130" w:name="_Toc118887461"/>
      <w:r>
        <w:rPr>
          <w:rFonts w:cs="Calibri" w:ascii="Calibri" w:hAnsi="Calibri" w:asciiTheme="minorHAnsi" w:cstheme="minorHAnsi" w:hAnsiTheme="minorHAnsi"/>
          <w:i w:val="false"/>
          <w:iCs w:val="false"/>
        </w:rPr>
        <w:t>Gazownictwo</w:t>
      </w:r>
      <w:bookmarkEnd w:id="129"/>
      <w:bookmarkEnd w:id="130"/>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bookmarkStart w:id="131" w:name="_Toc69212084"/>
      <w:bookmarkStart w:id="132" w:name="_Toc66173009"/>
      <w:r>
        <w:rPr>
          <w:rFonts w:cs="Calibri" w:cstheme="minorHAnsi"/>
          <w:b w:val="false"/>
          <w:bCs w:val="false"/>
          <w:sz w:val="22"/>
          <w:szCs w:val="22"/>
        </w:rPr>
        <w:t xml:space="preserve">Gmina Dwikozy posiada dobrze rozwinięty system gazociągów, który zasilany jest z magistralnego gazociągu przesyłowego Ø300 mm Sandomierz — Ostrowiec Świętokrzyski, gazociągiem wysokiego ciśnienia Ø100 mm CN40 doprowadzonym z miejscowości Wysiadłów do stacji redukcyjno-pomiarowej I-go stopnia zlokalizowanej na zachodnim obrzeżu miejscowości Dwikozy. Przepustowość stacji redukcyjnej wynosi 3200 Nm³/h i całkowicie pokrywa potrzeby odbiorców gazu z terenu gminy. Z istniejącej stacji redukcyjno - pomiarowej zasilana jest rozdzielcza sieć gazociągów średniego i niskiego ciśnienia o łącznej długości około 110 km, doprowadzająca gaz do odbiorców </w:t>
        <w:br/>
        <w:t>w 20 sołectwach. Obecnie sieć gazowa doprowadzona została do następujących miejscowości: Bożydar, Czermin, Dwikozy, Gałkowice, Stary Garbów, Nowy Garbów,  Gierlachów, Góry Wysokie, Kamień Łukawski, Kolonia Gałkowice, Nowy Kamień, Nowe Kichary, Stare Kichary, Mściów, Rzeczyca Mokra, Rzeczyca Sucha, Słupcza, Szczytniki, Winiary i Winiarki. W miejscowości Buczek istnieje możliwość wykonania przyłączy gazowych od strony rurociągu przebiegającego przez sąsiednią gminę Zawichost. Poza zasięgiem istniejącego systemu gazowniczego znajdują się jeszcze miejscowości: Kępa Chwałowska i Romanówka.</w:t>
      </w:r>
    </w:p>
    <w:p>
      <w:pPr>
        <w:pStyle w:val="Normal"/>
        <w:spacing w:lineRule="auto" w:line="240" w:before="0" w:after="0"/>
        <w:rPr>
          <w:rFonts w:cs="Calibri" w:cstheme="minorHAnsi"/>
          <w:highlight w:val="yellow"/>
        </w:rPr>
      </w:pPr>
      <w:r>
        <w:rPr>
          <w:rFonts w:cs="Calibri" w:cstheme="minorHAnsi"/>
          <w:highlight w:val="yellow"/>
        </w:rPr>
      </w:r>
    </w:p>
    <w:p>
      <w:pPr>
        <w:pStyle w:val="Caption"/>
        <w:spacing w:lineRule="auto" w:line="240" w:before="0" w:after="0"/>
        <w:ind w:left="630" w:hanging="0"/>
        <w:jc w:val="center"/>
        <w:rPr>
          <w:rFonts w:ascii="Calibri" w:hAnsi="Calibri" w:cs="Calibri" w:asciiTheme="minorHAnsi" w:cstheme="minorHAnsi" w:hAnsiTheme="minorHAnsi"/>
          <w:b w:val="false"/>
          <w:b w:val="false"/>
          <w:bCs w:val="false"/>
        </w:rPr>
      </w:pPr>
      <w:bookmarkStart w:id="133" w:name="_Toc118887767"/>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18</w:t>
      </w:r>
      <w:r>
        <w:rPr>
          <w:b w:val="false"/>
          <w:bCs w:val="false"/>
          <w:rFonts w:cs="Calibri"/>
        </w:rPr>
        <w:fldChar w:fldCharType="end"/>
      </w:r>
      <w:r>
        <w:rPr>
          <w:rFonts w:cs="Calibri" w:cstheme="minorHAnsi"/>
          <w:b w:val="false"/>
          <w:bCs w:val="false"/>
        </w:rPr>
        <w:t xml:space="preserve"> Stan sieci gazowej na terenie Gminy </w:t>
      </w:r>
      <w:bookmarkEnd w:id="132"/>
      <w:r>
        <w:rPr>
          <w:rFonts w:cs="Calibri" w:cstheme="minorHAnsi"/>
          <w:b w:val="false"/>
          <w:bCs w:val="false"/>
        </w:rPr>
        <w:t>Dwikozy w latach 2017- 2020</w:t>
      </w:r>
      <w:bookmarkEnd w:id="133"/>
    </w:p>
    <w:tbl>
      <w:tblPr>
        <w:tblW w:w="9056" w:type="dxa"/>
        <w:jc w:val="left"/>
        <w:tblInd w:w="10" w:type="dxa"/>
        <w:tblLayout w:type="fixed"/>
        <w:tblCellMar>
          <w:top w:w="15" w:type="dxa"/>
          <w:left w:w="15" w:type="dxa"/>
          <w:bottom w:w="0" w:type="dxa"/>
          <w:right w:w="15" w:type="dxa"/>
        </w:tblCellMar>
        <w:tblLook w:firstRow="1" w:noVBand="1" w:lastRow="0" w:firstColumn="1" w:lastColumn="0" w:noHBand="0" w:val="04a0"/>
      </w:tblPr>
      <w:tblGrid>
        <w:gridCol w:w="3925"/>
        <w:gridCol w:w="1187"/>
        <w:gridCol w:w="1372"/>
        <w:gridCol w:w="1171"/>
        <w:gridCol w:w="11"/>
        <w:gridCol w:w="1389"/>
      </w:tblGrid>
      <w:tr>
        <w:trPr>
          <w:trHeight w:val="288" w:hRule="atLeast"/>
        </w:trPr>
        <w:tc>
          <w:tcPr>
            <w:tcW w:w="3925"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cs="Calibri" w:cstheme="minorHAnsi"/>
                <w:lang w:val="en-US"/>
              </w:rPr>
            </w:pPr>
            <w:r>
              <w:rPr>
                <w:rFonts w:cs="Calibri" w:cstheme="minorHAnsi"/>
              </w:rPr>
              <w:t>kategoria</w:t>
            </w:r>
          </w:p>
        </w:tc>
        <w:tc>
          <w:tcPr>
            <w:tcW w:w="1187"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2017</w:t>
            </w:r>
          </w:p>
        </w:tc>
        <w:tc>
          <w:tcPr>
            <w:tcW w:w="137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2018</w:t>
            </w:r>
          </w:p>
        </w:tc>
        <w:tc>
          <w:tcPr>
            <w:tcW w:w="117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2019</w:t>
            </w:r>
          </w:p>
        </w:tc>
        <w:tc>
          <w:tcPr>
            <w:tcW w:w="11" w:type="dxa"/>
            <w:tcBorders>
              <w:top w:val="single" w:sz="4" w:space="0" w:color="000000"/>
              <w:bottom w:val="single" w:sz="4" w:space="0" w:color="000000"/>
            </w:tcBorders>
            <w:shd w:color="auto" w:fill="FFF2CC" w:themeFill="accent4" w:themeFillTint="33" w:val="clear"/>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cs="Calibri" w:cstheme="minorHAnsi"/>
                <w:color w:val="000000"/>
              </w:rPr>
            </w:pPr>
            <w:r>
              <w:rPr>
                <w:rFonts w:cs="Calibri" w:cstheme="minorHAnsi"/>
                <w:color w:val="000000"/>
              </w:rPr>
              <w:t>2020</w:t>
            </w:r>
          </w:p>
        </w:tc>
      </w:tr>
      <w:tr>
        <w:trPr>
          <w:trHeight w:val="288" w:hRule="atLeast"/>
        </w:trPr>
        <w:tc>
          <w:tcPr>
            <w:tcW w:w="392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długość czynnej sieci ogółem w m</w:t>
            </w:r>
          </w:p>
        </w:tc>
        <w:tc>
          <w:tcPr>
            <w:tcW w:w="118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104,033</w:t>
            </w:r>
          </w:p>
        </w:tc>
        <w:tc>
          <w:tcPr>
            <w:tcW w:w="137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104,236</w:t>
            </w:r>
          </w:p>
        </w:tc>
        <w:tc>
          <w:tcPr>
            <w:tcW w:w="117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104,295</w:t>
            </w:r>
          </w:p>
        </w:tc>
        <w:tc>
          <w:tcPr>
            <w:tcW w:w="11" w:type="dxa"/>
            <w:tcBorders>
              <w:bottom w:val="single" w:sz="4" w:space="0" w:color="000000"/>
            </w:tcBorders>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105,287</w:t>
            </w:r>
          </w:p>
        </w:tc>
      </w:tr>
      <w:tr>
        <w:trPr>
          <w:trHeight w:val="288" w:hRule="atLeast"/>
        </w:trPr>
        <w:tc>
          <w:tcPr>
            <w:tcW w:w="3925"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rPr>
            </w:pPr>
            <w:r>
              <w:rPr>
                <w:rFonts w:cs="Calibri" w:cstheme="minorHAnsi"/>
              </w:rPr>
              <w:t>czynne przyłącza do budynków ogółem (mieszkalnych i niemieszkalnych) w szt.</w:t>
            </w:r>
          </w:p>
        </w:tc>
        <w:tc>
          <w:tcPr>
            <w:tcW w:w="118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1,546</w:t>
            </w:r>
          </w:p>
        </w:tc>
        <w:tc>
          <w:tcPr>
            <w:tcW w:w="137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1,557</w:t>
            </w:r>
          </w:p>
        </w:tc>
        <w:tc>
          <w:tcPr>
            <w:tcW w:w="117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1,581</w:t>
            </w:r>
          </w:p>
        </w:tc>
        <w:tc>
          <w:tcPr>
            <w:tcW w:w="11" w:type="dxa"/>
            <w:tcBorders>
              <w:bottom w:val="single" w:sz="4" w:space="0" w:color="000000"/>
            </w:tcBorders>
            <w:shd w:color="auto" w:fill="E2EFD9" w:themeFill="accent6" w:themeFillTint="33" w:val="clear"/>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1,622</w:t>
            </w:r>
          </w:p>
        </w:tc>
      </w:tr>
      <w:tr>
        <w:trPr>
          <w:trHeight w:val="288" w:hRule="atLeast"/>
        </w:trPr>
        <w:tc>
          <w:tcPr>
            <w:tcW w:w="392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czynne przyłącza do budynków mieszkalnych</w:t>
            </w:r>
          </w:p>
        </w:tc>
        <w:tc>
          <w:tcPr>
            <w:tcW w:w="118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1,463</w:t>
            </w:r>
          </w:p>
        </w:tc>
        <w:tc>
          <w:tcPr>
            <w:tcW w:w="137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1,474</w:t>
            </w:r>
          </w:p>
        </w:tc>
        <w:tc>
          <w:tcPr>
            <w:tcW w:w="117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1,497</w:t>
            </w:r>
          </w:p>
        </w:tc>
        <w:tc>
          <w:tcPr>
            <w:tcW w:w="11" w:type="dxa"/>
            <w:tcBorders>
              <w:bottom w:val="single" w:sz="4" w:space="0" w:color="000000"/>
            </w:tcBorders>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1,538</w:t>
            </w:r>
          </w:p>
        </w:tc>
      </w:tr>
      <w:tr>
        <w:trPr>
          <w:trHeight w:val="288" w:hRule="atLeast"/>
        </w:trPr>
        <w:tc>
          <w:tcPr>
            <w:tcW w:w="3925"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rPr>
            </w:pPr>
            <w:r>
              <w:rPr>
                <w:rFonts w:cs="Calibri" w:cstheme="minorHAnsi"/>
              </w:rPr>
              <w:t>odbiorcy gazu (gospodarstwa domowe)</w:t>
            </w:r>
          </w:p>
        </w:tc>
        <w:tc>
          <w:tcPr>
            <w:tcW w:w="118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1,098</w:t>
            </w:r>
          </w:p>
        </w:tc>
        <w:tc>
          <w:tcPr>
            <w:tcW w:w="137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1,124</w:t>
            </w:r>
          </w:p>
        </w:tc>
        <w:tc>
          <w:tcPr>
            <w:tcW w:w="117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1,149</w:t>
            </w:r>
          </w:p>
        </w:tc>
        <w:tc>
          <w:tcPr>
            <w:tcW w:w="11" w:type="dxa"/>
            <w:tcBorders>
              <w:bottom w:val="single" w:sz="4" w:space="0" w:color="000000"/>
            </w:tcBorders>
            <w:shd w:color="auto" w:fill="E2EFD9" w:themeFill="accent6" w:themeFillTint="33" w:val="clear"/>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1,438</w:t>
            </w:r>
          </w:p>
        </w:tc>
      </w:tr>
      <w:tr>
        <w:trPr>
          <w:trHeight w:val="288" w:hRule="atLeast"/>
        </w:trPr>
        <w:tc>
          <w:tcPr>
            <w:tcW w:w="392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odbiorcy gazu (gospodarstwa domowe) ogrzewający mieszkania gazem</w:t>
            </w:r>
          </w:p>
        </w:tc>
        <w:tc>
          <w:tcPr>
            <w:tcW w:w="118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547</w:t>
            </w:r>
          </w:p>
        </w:tc>
        <w:tc>
          <w:tcPr>
            <w:tcW w:w="137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583</w:t>
            </w:r>
          </w:p>
        </w:tc>
        <w:tc>
          <w:tcPr>
            <w:tcW w:w="117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602</w:t>
            </w:r>
          </w:p>
        </w:tc>
        <w:tc>
          <w:tcPr>
            <w:tcW w:w="11" w:type="dxa"/>
            <w:tcBorders>
              <w:bottom w:val="single" w:sz="4" w:space="0" w:color="000000"/>
            </w:tcBorders>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686</w:t>
            </w:r>
          </w:p>
        </w:tc>
      </w:tr>
      <w:tr>
        <w:trPr>
          <w:trHeight w:val="288" w:hRule="atLeast"/>
        </w:trPr>
        <w:tc>
          <w:tcPr>
            <w:tcW w:w="3925"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rPr>
            </w:pPr>
            <w:r>
              <w:rPr>
                <w:rFonts w:cs="Calibri" w:cstheme="minorHAnsi"/>
              </w:rPr>
              <w:t>zużycie gazu przez gospodarstwa domowe w MWh</w:t>
            </w:r>
          </w:p>
        </w:tc>
        <w:tc>
          <w:tcPr>
            <w:tcW w:w="118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9,439.7</w:t>
            </w:r>
          </w:p>
        </w:tc>
        <w:tc>
          <w:tcPr>
            <w:tcW w:w="137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9,872.5</w:t>
            </w:r>
          </w:p>
        </w:tc>
        <w:tc>
          <w:tcPr>
            <w:tcW w:w="117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10,764.1</w:t>
            </w:r>
          </w:p>
        </w:tc>
        <w:tc>
          <w:tcPr>
            <w:tcW w:w="11" w:type="dxa"/>
            <w:tcBorders>
              <w:bottom w:val="single" w:sz="4" w:space="0" w:color="000000"/>
            </w:tcBorders>
            <w:shd w:color="auto" w:fill="E2EFD9" w:themeFill="accent6" w:themeFillTint="33" w:val="clear"/>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11,097.3</w:t>
            </w:r>
          </w:p>
        </w:tc>
      </w:tr>
      <w:tr>
        <w:trPr>
          <w:trHeight w:val="288" w:hRule="atLeast"/>
        </w:trPr>
        <w:tc>
          <w:tcPr>
            <w:tcW w:w="392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rPr>
            </w:pPr>
            <w:r>
              <w:rPr>
                <w:rFonts w:cs="Calibri" w:cstheme="minorHAnsi"/>
              </w:rPr>
              <w:t>zużycie gazu na ogrzewanie mieszkań przez gospodarstwa domowe w MWh</w:t>
            </w:r>
          </w:p>
        </w:tc>
        <w:tc>
          <w:tcPr>
            <w:tcW w:w="118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6,927.5</w:t>
            </w:r>
          </w:p>
        </w:tc>
        <w:tc>
          <w:tcPr>
            <w:tcW w:w="137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7,123.8</w:t>
            </w:r>
          </w:p>
        </w:tc>
        <w:tc>
          <w:tcPr>
            <w:tcW w:w="117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7,848.7</w:t>
            </w:r>
          </w:p>
        </w:tc>
        <w:tc>
          <w:tcPr>
            <w:tcW w:w="11" w:type="dxa"/>
            <w:tcBorders>
              <w:bottom w:val="single" w:sz="4" w:space="0" w:color="000000"/>
            </w:tcBorders>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8,156.7</w:t>
            </w:r>
          </w:p>
        </w:tc>
      </w:tr>
      <w:tr>
        <w:trPr>
          <w:trHeight w:val="288" w:hRule="atLeast"/>
        </w:trPr>
        <w:tc>
          <w:tcPr>
            <w:tcW w:w="3925"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rPr>
            </w:pPr>
            <w:r>
              <w:rPr>
                <w:rFonts w:cs="Calibri" w:cstheme="minorHAnsi"/>
              </w:rPr>
              <w:t>ludność korzystająca z sieci gazowej</w:t>
            </w:r>
          </w:p>
        </w:tc>
        <w:tc>
          <w:tcPr>
            <w:tcW w:w="118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3,382</w:t>
            </w:r>
          </w:p>
        </w:tc>
        <w:tc>
          <w:tcPr>
            <w:tcW w:w="137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3,417</w:t>
            </w:r>
          </w:p>
        </w:tc>
        <w:tc>
          <w:tcPr>
            <w:tcW w:w="117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3,470</w:t>
            </w:r>
          </w:p>
        </w:tc>
        <w:tc>
          <w:tcPr>
            <w:tcW w:w="11" w:type="dxa"/>
            <w:tcBorders>
              <w:bottom w:val="single" w:sz="4" w:space="0" w:color="000000"/>
            </w:tcBorders>
            <w:shd w:color="auto" w:fill="E2EFD9" w:themeFill="accent6" w:themeFillTint="33" w:val="clear"/>
            <w:tcMar>
              <w:top w:w="0" w:type="dxa"/>
              <w:left w:w="5" w:type="dxa"/>
              <w:right w:w="5" w:type="dxa"/>
            </w:tcMar>
          </w:tcPr>
          <w:p>
            <w:pPr>
              <w:pStyle w:val="Normal"/>
              <w:widowControl w:val="false"/>
              <w:spacing w:lineRule="auto" w:line="240" w:before="0" w:after="0"/>
              <w:jc w:val="center"/>
              <w:rPr>
                <w:rFonts w:cs="Calibri" w:cstheme="minorHAnsi"/>
                <w:color w:val="000000"/>
              </w:rPr>
            </w:pPr>
            <w:r>
              <w:rPr>
                <w:rFonts w:cs="Calibri" w:cstheme="minorHAnsi"/>
                <w:color w:val="000000"/>
              </w:rPr>
            </w:r>
          </w:p>
        </w:tc>
        <w:tc>
          <w:tcPr>
            <w:tcW w:w="138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cs="Calibri" w:cstheme="minorHAnsi"/>
                <w:color w:val="000000"/>
              </w:rPr>
            </w:pPr>
            <w:r>
              <w:rPr>
                <w:rFonts w:cs="Calibri" w:cstheme="minorHAnsi"/>
                <w:color w:val="000000"/>
              </w:rPr>
              <w:t>4,300</w:t>
            </w:r>
          </w:p>
        </w:tc>
      </w:tr>
    </w:tbl>
    <w:p>
      <w:pPr>
        <w:pStyle w:val="BodyTextIndent"/>
        <w:spacing w:lineRule="auto" w:line="240" w:before="0" w:after="0"/>
        <w:ind w:hanging="0"/>
        <w:jc w:val="center"/>
        <w:rPr>
          <w:rFonts w:ascii="Calibri" w:hAnsi="Calibri" w:cs="Calibri" w:asciiTheme="minorHAnsi" w:cstheme="minorHAnsi" w:hAnsiTheme="minorHAnsi"/>
          <w:sz w:val="20"/>
          <w:szCs w:val="20"/>
          <w:lang w:val="pl-PL"/>
        </w:rPr>
      </w:pPr>
      <w:r>
        <w:rPr>
          <w:rFonts w:cs="Calibri" w:ascii="Calibri" w:hAnsi="Calibri" w:asciiTheme="minorHAnsi" w:cstheme="minorHAnsi" w:hAnsiTheme="minorHAnsi"/>
          <w:sz w:val="20"/>
          <w:szCs w:val="20"/>
          <w:lang w:val="pl-PL"/>
        </w:rPr>
        <w:t>Źródło: Bank Danych Lokalnych – GUS</w:t>
      </w:r>
    </w:p>
    <w:p>
      <w:pPr>
        <w:pStyle w:val="BodyTextIndent"/>
        <w:spacing w:lineRule="auto" w:line="240" w:before="0" w:after="0"/>
        <w:ind w:left="630" w:hanging="0"/>
        <w:rPr>
          <w:rFonts w:ascii="Calibri" w:hAnsi="Calibri" w:cs="Calibri" w:asciiTheme="minorHAnsi" w:cstheme="minorHAnsi" w:hAnsiTheme="minorHAnsi"/>
          <w:highlight w:val="yellow"/>
          <w:lang w:val="pl-PL"/>
        </w:rPr>
      </w:pPr>
      <w:r>
        <w:rPr>
          <w:rFonts w:cs="Calibri" w:cstheme="minorHAnsi" w:ascii="Calibri" w:hAnsi="Calibri"/>
          <w:highlight w:val="yellow"/>
          <w:lang w:val="pl-PL"/>
        </w:rPr>
      </w:r>
    </w:p>
    <w:p>
      <w:pPr>
        <w:pStyle w:val="NoSpacing"/>
        <w:rPr>
          <w:rFonts w:ascii="Calibri" w:hAnsi="Calibri" w:cs="Calibri" w:asciiTheme="minorHAnsi" w:cstheme="minorHAnsi" w:hAnsiTheme="minorHAnsi"/>
          <w:highlight w:val="yellow"/>
        </w:rPr>
      </w:pPr>
      <w:r>
        <w:rPr>
          <w:rFonts w:cs="Calibri" w:cstheme="minorHAnsi"/>
          <w:highlight w:val="yellow"/>
        </w:rPr>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sz w:val="32"/>
          <w:szCs w:val="32"/>
        </w:rPr>
      </w:pPr>
      <w:r>
        <w:rPr>
          <w:rFonts w:cs="Calibri" w:ascii="Calibri" w:hAnsi="Calibri" w:asciiTheme="minorHAnsi" w:cstheme="minorHAnsi" w:hAnsiTheme="minorHAnsi"/>
          <w:i w:val="false"/>
          <w:iCs w:val="false"/>
        </w:rPr>
        <w:t xml:space="preserve"> </w:t>
      </w:r>
      <w:bookmarkStart w:id="134" w:name="_Toc118887462"/>
      <w:r>
        <w:rPr>
          <w:rFonts w:cs="Calibri" w:ascii="Calibri" w:hAnsi="Calibri" w:asciiTheme="minorHAnsi" w:cstheme="minorHAnsi" w:hAnsiTheme="minorHAnsi"/>
          <w:i w:val="false"/>
          <w:iCs w:val="false"/>
        </w:rPr>
        <w:t>Energetyka i telekomunikacja</w:t>
      </w:r>
      <w:bookmarkEnd w:id="131"/>
      <w:bookmarkEnd w:id="134"/>
    </w:p>
    <w:p>
      <w:pPr>
        <w:pStyle w:val="NoSpacing"/>
        <w:jc w:val="both"/>
        <w:rPr>
          <w:rFonts w:ascii="Calibri" w:hAnsi="Calibri" w:cs="Calibri" w:asciiTheme="minorHAnsi" w:cstheme="minorHAnsi" w:hAnsiTheme="minorHAnsi"/>
        </w:rPr>
      </w:pPr>
      <w:r>
        <w:rPr>
          <w:rFonts w:cs="Calibri" w:cstheme="minorHAnsi"/>
        </w:rPr>
        <w:t>Przez obszar gminy, w południowo-zachodniej jej części przebiega napowietrzna linia wysokiego napięcia, dwutorowa 110 kV relacji: I tor 110 kV Stalowa Wola — Ożarów, II tor 110 kV Gorzyce — Ostrowiec Św. zasilający Główny Punkt Zasilający (GPZ) 110 kV „Gierlachów” z odgałęzieniem do GPZ „Sandomierz”. Linie 110 kV na terenie gminy Dwikozy są eksploatowane i zarządzane przez Polską Grupę Energetyczną S.A..</w:t>
      </w:r>
    </w:p>
    <w:p>
      <w:pPr>
        <w:pStyle w:val="NoSpacing"/>
        <w:jc w:val="both"/>
        <w:rPr>
          <w:rFonts w:ascii="Calibri" w:hAnsi="Calibri" w:cs="Calibri" w:asciiTheme="minorHAnsi" w:cstheme="minorHAnsi" w:hAnsiTheme="minorHAnsi"/>
        </w:rPr>
      </w:pPr>
      <w:r>
        <w:rPr>
          <w:rFonts w:cs="Calibri" w:cstheme="minorHAnsi"/>
        </w:rPr>
        <w:t xml:space="preserve">Gmina Dwikozy zasilana jest w energię elektryczną napięciem 15 kV kilkoma liniami magistralnymi napowietrznymi zasilanymi z GPZ 110/15 kV „Gierlachów” znajdującego się na terenie gminy </w:t>
        <w:br/>
        <w:t>w miejscowości Gierlachów. Linie magistralne 15 kV wychodzące  z GPZ „Gierlachów” zasilające obszar gminy to:</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Ożarów  I”,</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Ożarów II”,</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Ożarów III”,</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Romanówka”,</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Podgaje”,</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Kamień”,</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Sandomierz I”,</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Sandomierz II”,</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Opatów”,</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Klimontów I”,</w:t>
      </w:r>
    </w:p>
    <w:p>
      <w:pPr>
        <w:pStyle w:val="NoSpacing"/>
        <w:numPr>
          <w:ilvl w:val="0"/>
          <w:numId w:val="41"/>
        </w:numPr>
        <w:jc w:val="both"/>
        <w:rPr>
          <w:rFonts w:ascii="Calibri" w:hAnsi="Calibri" w:cs="Calibri" w:asciiTheme="minorHAnsi" w:cstheme="minorHAnsi" w:hAnsiTheme="minorHAnsi"/>
        </w:rPr>
      </w:pPr>
      <w:r>
        <w:rPr>
          <w:rFonts w:cs="Calibri" w:cstheme="minorHAnsi"/>
        </w:rPr>
        <w:t>„</w:t>
      </w:r>
      <w:r>
        <w:rPr>
          <w:rFonts w:cs="Calibri" w:cstheme="minorHAnsi"/>
        </w:rPr>
        <w:t>Gierlachów – Klimontów II”.</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rPr>
      </w:pPr>
      <w:r>
        <w:rPr>
          <w:rFonts w:cs="Calibri" w:cstheme="minorHAnsi"/>
        </w:rPr>
        <w:t>Moc zainstalowana w poszczególnych stacjach jest na ogół dostosowana do występujących potrzeb. Istniejące typy stacji umożliwiają w miarę potrzeb wymianę transformatora na urządzenie o większej mocy. Przeważają stacje typu STS-20/250 o zainstalowanej mocy urządzenia 110 kV. Linie SN budowane były równolegle z liniami n/N. Ze względu na liczne modernizacje, wyprowadzenia nowych magistral z GPZ, dobudowy stacji trafo i powiązań, linie energetyczne na terenie gminy ulegały w ostatnich latach licznym modernizacjom.</w:t>
      </w:r>
    </w:p>
    <w:p>
      <w:pPr>
        <w:pStyle w:val="Normal"/>
        <w:spacing w:lineRule="auto" w:line="240" w:before="0" w:after="0"/>
        <w:jc w:val="both"/>
        <w:rPr>
          <w:rFonts w:eastAsia="Calibri" w:cs="Calibri" w:cstheme="minorHAnsi"/>
        </w:rPr>
      </w:pPr>
      <w:bookmarkStart w:id="135" w:name="_Toc69212076"/>
      <w:r>
        <w:rPr>
          <w:rFonts w:eastAsia="Calibri" w:cs="Calibri" w:cstheme="minorHAnsi"/>
        </w:rPr>
        <w:t>W dziedzinie łączności telekomunikacyjnej mieszkańcy gminy Dwikozy korzystają z usług stacjonarnych firmy Orange (dawniej Telekomunikacja Polska) oraz operatorów komórkowej telefonii cyfrowej: Plus, T-Mobile, PLAY oraz Orange. Dostęp do internetu możliwy jest zarówno poprzez sieć naziemną jak i radiową. Przez gminę Dwikozy przebiega szerokopasmowa magistrala światłowodowa.</w:t>
      </w:r>
    </w:p>
    <w:p>
      <w:pPr>
        <w:pStyle w:val="Normal"/>
        <w:spacing w:lineRule="auto" w:line="240" w:before="0" w:after="0"/>
        <w:rPr>
          <w:rFonts w:eastAsia="Times New Roman" w:cs="Calibri" w:cstheme="minorHAnsi"/>
          <w:b/>
          <w:b/>
          <w:bCs/>
        </w:rPr>
      </w:pPr>
      <w:r>
        <w:rPr>
          <w:rFonts w:eastAsia="Times New Roman" w:cs="Calibri" w:cstheme="minorHAnsi"/>
          <w:b/>
          <w:bCs/>
        </w:rPr>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sz w:val="32"/>
          <w:szCs w:val="32"/>
        </w:rPr>
      </w:pPr>
      <w:bookmarkStart w:id="136" w:name="_Toc69212076"/>
      <w:bookmarkStart w:id="137" w:name="_Toc118887463"/>
      <w:r>
        <w:rPr>
          <w:rFonts w:cs="Calibri" w:ascii="Calibri" w:hAnsi="Calibri" w:asciiTheme="minorHAnsi" w:cstheme="minorHAnsi" w:hAnsiTheme="minorHAnsi"/>
          <w:i w:val="false"/>
          <w:iCs w:val="false"/>
        </w:rPr>
        <w:t>Infrastruktura sportowo-rekreacyjna</w:t>
      </w:r>
      <w:bookmarkEnd w:id="136"/>
      <w:bookmarkEnd w:id="137"/>
    </w:p>
    <w:p>
      <w:pPr>
        <w:pStyle w:val="NoSpacing"/>
        <w:jc w:val="both"/>
        <w:rPr>
          <w:rFonts w:ascii="Calibri" w:hAnsi="Calibri" w:cs="Calibri" w:asciiTheme="minorHAnsi" w:cstheme="minorHAnsi" w:hAnsiTheme="minorHAnsi"/>
        </w:rPr>
      </w:pPr>
      <w:r>
        <w:rPr>
          <w:rFonts w:cs="Calibri" w:cstheme="minorHAnsi"/>
        </w:rPr>
        <w:t xml:space="preserve">Ważnym elementem infrastruktury technicznej są obiekty szkolne i te o przeznaczeniu integracyjnym </w:t>
        <w:br/>
        <w:t>w aspekcie sportu, rekreacji i kultury, które pełnią ważne funkcje społeczne. Na terenie gminy Dwikozy znajdują się liczne place zabaw, tereny rekreacyjne oraz świetlice wiejskie.</w:t>
      </w:r>
    </w:p>
    <w:p>
      <w:pPr>
        <w:pStyle w:val="NoSpacing"/>
        <w:jc w:val="both"/>
        <w:rPr>
          <w:rFonts w:ascii="Calibri" w:hAnsi="Calibri" w:cs="Calibri" w:asciiTheme="minorHAnsi" w:cstheme="minorHAnsi" w:hAnsiTheme="minorHAnsi"/>
        </w:rPr>
      </w:pPr>
      <w:r>
        <w:rPr>
          <w:rFonts w:cs="Calibri" w:cstheme="minorHAnsi"/>
        </w:rPr>
      </w:r>
    </w:p>
    <w:p>
      <w:pPr>
        <w:pStyle w:val="Normal"/>
        <w:spacing w:lineRule="auto" w:line="240" w:before="0" w:after="0"/>
        <w:jc w:val="both"/>
        <w:rPr>
          <w:rFonts w:eastAsia="Calibri" w:cs="Calibri" w:cstheme="minorHAnsi"/>
          <w:color w:val="000000"/>
        </w:rPr>
      </w:pPr>
      <w:r>
        <w:rPr>
          <w:rFonts w:eastAsia="Calibri" w:cs="Calibri" w:cstheme="minorHAnsi"/>
          <w:color w:val="000000"/>
        </w:rPr>
        <w:t xml:space="preserve">W Dwikozach zlokalizowany jest </w:t>
      </w:r>
      <w:r>
        <w:rPr>
          <w:rFonts w:eastAsia="Calibri" w:cs="Calibri" w:cstheme="minorHAnsi"/>
          <w:b/>
          <w:bCs/>
          <w:color w:val="000000"/>
        </w:rPr>
        <w:t>Kompleks sportowy Moje Boisko – Orlik 2012</w:t>
      </w:r>
      <w:r>
        <w:rPr>
          <w:rFonts w:eastAsia="Calibri" w:cs="Calibri" w:cstheme="minorHAnsi"/>
          <w:color w:val="000000"/>
        </w:rPr>
        <w:t xml:space="preserve">, który znajduje się przy ul. Sportowej w sąsiedztwie Szkoły Podstawowej w Dwikozach oraz Stadionu Klubu Sportowego "SPARTA" Dwikozy. Kompleks składa się z boiska do piłki nożnej o wymiarach 30,0 m x 62,0m, boiska wielofunkcyjnego o wymiarach 19,1 x 32,1m oraz zaplecza socjalnego wraz z infrastrukturą techniczną. Kompleks został wybudowany w latach 2009-2010 i oddany do użytku wiosną 2010 roku. Z kompleksu Orlik w sezonie wiosenno - jesiennym korzystają uczniowie Szkoły Podstawowej </w:t>
        <w:br/>
        <w:t>w ramach zajęć wychowania fizycznego, jak również zawodnicy KS "SPARTA" Dwikozy oraz pozostali mieszkańcy Gminy Dwikozy.</w:t>
      </w:r>
      <w:r>
        <w:rPr>
          <w:rFonts w:cs="Calibri" w:cstheme="minorHAnsi"/>
        </w:rPr>
        <w:t xml:space="preserve"> </w:t>
      </w:r>
    </w:p>
    <w:p>
      <w:pPr>
        <w:pStyle w:val="Caption"/>
        <w:spacing w:lineRule="auto" w:line="240" w:before="0" w:after="0"/>
        <w:jc w:val="center"/>
        <w:rPr>
          <w:rFonts w:ascii="Calibri" w:hAnsi="Calibri" w:cs="Calibri" w:asciiTheme="minorHAnsi" w:cstheme="minorHAnsi" w:hAnsiTheme="minorHAnsi"/>
          <w:b w:val="false"/>
          <w:b w:val="false"/>
          <w:bCs w:val="false"/>
          <w:color w:val="000000"/>
        </w:rPr>
      </w:pPr>
      <w:bookmarkStart w:id="138" w:name="_Toc118887443"/>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9</w:t>
      </w:r>
      <w:r>
        <w:rPr>
          <w:b w:val="false"/>
          <w:bCs w:val="false"/>
          <w:rFonts w:cs="Calibri"/>
        </w:rPr>
        <w:fldChar w:fldCharType="end"/>
      </w:r>
      <w:r>
        <w:rPr>
          <w:rFonts w:cs="Calibri" w:cstheme="minorHAnsi"/>
          <w:b w:val="false"/>
          <w:bCs w:val="false"/>
        </w:rPr>
        <w:t xml:space="preserve"> Kompleks sportowy Moje Boisko – Orlik 2012</w:t>
      </w:r>
      <w:bookmarkEnd w:id="138"/>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drawing>
          <wp:anchor behindDoc="0" distT="0" distB="0" distL="114300" distR="114300" simplePos="0" locked="0" layoutInCell="0" allowOverlap="1" relativeHeight="22">
            <wp:simplePos x="0" y="0"/>
            <wp:positionH relativeFrom="column">
              <wp:posOffset>922020</wp:posOffset>
            </wp:positionH>
            <wp:positionV relativeFrom="paragraph">
              <wp:posOffset>80010</wp:posOffset>
            </wp:positionV>
            <wp:extent cx="3870960" cy="2576830"/>
            <wp:effectExtent l="0" t="0" r="0" b="0"/>
            <wp:wrapSquare wrapText="bothSides"/>
            <wp:docPr id="19"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0" descr=""/>
                    <pic:cNvPicPr>
                      <a:picLocks noChangeAspect="1" noChangeArrowheads="1"/>
                    </pic:cNvPicPr>
                  </pic:nvPicPr>
                  <pic:blipFill>
                    <a:blip r:embed="rId27"/>
                    <a:stretch>
                      <a:fillRect/>
                    </a:stretch>
                  </pic:blipFill>
                  <pic:spPr bwMode="auto">
                    <a:xfrm>
                      <a:off x="0" y="0"/>
                      <a:ext cx="3870960" cy="2576830"/>
                    </a:xfrm>
                    <a:prstGeom prst="rect">
                      <a:avLst/>
                    </a:prstGeom>
                  </pic:spPr>
                </pic:pic>
              </a:graphicData>
            </a:graphic>
          </wp:anchor>
        </w:drawing>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center"/>
        <w:rPr>
          <w:rFonts w:eastAsia="Calibri" w:cs="Calibri" w:cstheme="minorHAnsi"/>
          <w:color w:val="000000"/>
        </w:rPr>
      </w:pPr>
      <w:r>
        <w:rPr>
          <w:rFonts w:eastAsia="Calibri" w:cs="Calibri" w:cstheme="minorHAnsi"/>
          <w:color w:val="000000"/>
        </w:rPr>
      </w:r>
    </w:p>
    <w:p>
      <w:pPr>
        <w:pStyle w:val="Normal"/>
        <w:spacing w:lineRule="auto" w:line="240" w:before="0" w:after="0"/>
        <w:jc w:val="center"/>
        <w:rPr>
          <w:rFonts w:eastAsia="Calibri" w:cs="Calibri" w:cstheme="minorHAnsi"/>
          <w:color w:val="000000"/>
        </w:rPr>
      </w:pPr>
      <w:r>
        <w:rPr>
          <w:rFonts w:eastAsia="Calibri" w:cs="Calibri" w:cstheme="minorHAnsi"/>
          <w:color w:val="000000"/>
        </w:rPr>
      </w:r>
    </w:p>
    <w:p>
      <w:pPr>
        <w:pStyle w:val="Normal"/>
        <w:spacing w:lineRule="auto" w:line="240" w:before="0" w:after="0"/>
        <w:jc w:val="center"/>
        <w:rPr>
          <w:rFonts w:eastAsia="Calibri" w:cs="Calibri" w:cstheme="minorHAnsi"/>
          <w:color w:val="000000"/>
        </w:rPr>
      </w:pPr>
      <w:r>
        <w:rPr>
          <w:rFonts w:eastAsia="Calibri" w:cs="Calibri" w:cstheme="minorHAnsi"/>
          <w:color w:val="000000"/>
        </w:rPr>
      </w:r>
    </w:p>
    <w:p>
      <w:pPr>
        <w:pStyle w:val="Normal"/>
        <w:spacing w:lineRule="auto" w:line="240" w:before="0" w:after="0"/>
        <w:jc w:val="center"/>
        <w:rPr>
          <w:rFonts w:eastAsia="Calibri" w:cs="Calibri" w:cstheme="minorHAnsi"/>
          <w:color w:val="000000"/>
        </w:rPr>
      </w:pPr>
      <w:r>
        <w:rPr>
          <w:rFonts w:eastAsia="Calibri" w:cs="Calibri" w:cstheme="minorHAnsi"/>
          <w:color w:val="000000"/>
        </w:rPr>
      </w:r>
    </w:p>
    <w:p>
      <w:pPr>
        <w:pStyle w:val="Normal"/>
        <w:spacing w:lineRule="auto" w:line="240" w:before="0" w:after="0"/>
        <w:jc w:val="center"/>
        <w:rPr>
          <w:rFonts w:eastAsia="Calibri" w:cs="Calibri" w:cstheme="minorHAnsi"/>
          <w:color w:val="000000"/>
        </w:rPr>
      </w:pPr>
      <w:r>
        <w:rPr>
          <w:rFonts w:eastAsia="Calibri" w:cs="Calibri" w:cstheme="minorHAnsi"/>
          <w:color w:val="000000"/>
        </w:rPr>
      </w:r>
    </w:p>
    <w:p>
      <w:pPr>
        <w:pStyle w:val="Normal"/>
        <w:spacing w:lineRule="auto" w:line="240" w:before="0" w:after="0"/>
        <w:jc w:val="center"/>
        <w:rPr>
          <w:rFonts w:eastAsia="Calibri" w:cs="Calibri" w:cstheme="minorHAnsi"/>
          <w:color w:val="000000"/>
        </w:rPr>
      </w:pPr>
      <w:r>
        <w:rPr>
          <w:rFonts w:eastAsia="Calibri" w:cs="Calibri" w:cstheme="minorHAnsi"/>
          <w:color w:val="000000"/>
        </w:rPr>
      </w:r>
    </w:p>
    <w:p>
      <w:pPr>
        <w:pStyle w:val="NoSpacing"/>
        <w:jc w:val="center"/>
        <w:rPr>
          <w:sz w:val="20"/>
          <w:szCs w:val="20"/>
        </w:rPr>
      </w:pPr>
      <w:r>
        <w:rPr>
          <w:sz w:val="20"/>
          <w:szCs w:val="20"/>
        </w:rPr>
        <w:t xml:space="preserve">Źródło: </w:t>
      </w:r>
      <w:hyperlink r:id="rId28">
        <w:r>
          <w:rPr>
            <w:rStyle w:val="Czeinternetowe"/>
            <w:rFonts w:cs="Calibri" w:cstheme="minorHAnsi"/>
            <w:color w:val="auto"/>
            <w:sz w:val="20"/>
            <w:szCs w:val="20"/>
            <w:u w:val="none"/>
          </w:rPr>
          <w:t>dwikozy.gmina.pl</w:t>
        </w:r>
      </w:hyperlink>
    </w:p>
    <w:p>
      <w:pPr>
        <w:pStyle w:val="Normal"/>
        <w:spacing w:lineRule="auto" w:line="240" w:before="0" w:after="0"/>
        <w:jc w:val="center"/>
        <w:rPr>
          <w:rFonts w:eastAsia="Calibri" w:cs="Calibri" w:cstheme="minorHAnsi"/>
          <w:b/>
          <w:b/>
          <w:bCs/>
          <w:color w:val="000000"/>
        </w:rPr>
      </w:pPr>
      <w:r>
        <w:rPr>
          <w:rFonts w:eastAsia="Calibri" w:cs="Calibri" w:cstheme="minorHAnsi"/>
          <w:b/>
          <w:bCs/>
          <w:color w:val="000000"/>
        </w:rPr>
      </w:r>
    </w:p>
    <w:p>
      <w:pPr>
        <w:pStyle w:val="Normal"/>
        <w:spacing w:lineRule="auto" w:line="240" w:before="0" w:after="0"/>
        <w:jc w:val="both"/>
        <w:rPr>
          <w:rFonts w:eastAsia="Calibri" w:cs="Calibri" w:cstheme="minorHAnsi"/>
          <w:color w:val="000000"/>
        </w:rPr>
      </w:pPr>
      <w:r>
        <w:rPr>
          <w:rFonts w:eastAsia="Calibri" w:cs="Calibri" w:cstheme="minorHAnsi"/>
          <w:b/>
          <w:bCs/>
          <w:color w:val="000000"/>
        </w:rPr>
        <w:t>Hala sportowa</w:t>
      </w:r>
      <w:r>
        <w:rPr>
          <w:rFonts w:eastAsia="Calibri" w:cs="Calibri" w:cstheme="minorHAnsi"/>
          <w:color w:val="000000"/>
        </w:rPr>
        <w:t xml:space="preserve"> zlokalizowana jest przy ul. Szkolnej w Dwikozach - posiada główne boisko </w:t>
        <w:br/>
        <w:t xml:space="preserve">o wymiarach 20m x 40m (pełnowymiarowe), które może być wykorzystywane do gry w piłkę ręczną, koszykówkę, siatkówkę i piłkę nożną halową. Oprócz głównego boiska w hali znajduje się siłownia oraz zaplecze socjalne z szatniami i natryskami. Hala została wybudowana w latach 2007 - 2008,  </w:t>
        <w:br/>
        <w:t xml:space="preserve">a w pełni wyposażona i oddana do użytku jesienią 2009 roku. Przez cały rok w hali sportowej odbywają się różne formy aktywności fizycznej m.in. turnieje sportowe oraz zajęcia fitness </w:t>
        <w:br/>
        <w:t>i aerobiku.</w:t>
      </w:r>
    </w:p>
    <w:p>
      <w:pPr>
        <w:pStyle w:val="Normal"/>
        <w:spacing w:lineRule="auto" w:line="240" w:before="0" w:after="0"/>
        <w:jc w:val="both"/>
        <w:rPr>
          <w:rFonts w:eastAsia="Calibri" w:cs="Calibri" w:cstheme="minorHAnsi"/>
          <w:color w:val="000000"/>
        </w:rPr>
      </w:pPr>
      <w:r>
        <w:rPr>
          <w:rFonts w:eastAsia="Calibri" w:cs="Calibri" w:cstheme="minorHAnsi"/>
          <w:color w:val="000000"/>
        </w:rPr>
      </w:r>
    </w:p>
    <w:p>
      <w:pPr>
        <w:pStyle w:val="Normal"/>
        <w:spacing w:lineRule="auto" w:line="240" w:before="0" w:after="0"/>
        <w:jc w:val="both"/>
        <w:rPr>
          <w:rFonts w:eastAsia="Calibri" w:cs="Calibri" w:cstheme="minorHAnsi"/>
          <w:color w:val="000000"/>
        </w:rPr>
      </w:pPr>
      <w:r>
        <w:rPr>
          <w:rFonts w:eastAsia="Calibri" w:cs="Calibri" w:cstheme="minorHAnsi"/>
          <w:b/>
          <w:bCs/>
          <w:color w:val="000000"/>
        </w:rPr>
        <w:t>Stadion Sportowy KS "Sparta" Dwikozy</w:t>
      </w:r>
      <w:r>
        <w:rPr>
          <w:rFonts w:eastAsia="Calibri" w:cs="Calibri" w:cstheme="minorHAnsi"/>
          <w:color w:val="000000"/>
        </w:rPr>
        <w:t xml:space="preserve"> zlokalizowany przy ul. Sportowej 5 w Dwikozach. Obiekt powstał w latach 60-tych i ostatnio został zmodernizowany. Posiada boisko do gry w piłkę nożną </w:t>
        <w:br/>
        <w:t>o wymiarach 100m x 66m. Pojemność stadionu wynosi 300 miejsc (wszystkie siedzące). Stadion posiada zaplecze socjalne z szatniami dla zawodników. Na stadionie swoje mecze rozgrywają drużyny Klubu Sportowego "SPARTA" w kilku kategoriach wiekowych. Ponadto na stadionie sportowym odbywają się corocznie masowe imprezy okolicznościowe m.in. Wojewódzkie Święto Pomidora, Gminne Święto Plonów, Gminne Zawody Sportowo - Pożarnicze.</w:t>
      </w:r>
    </w:p>
    <w:p>
      <w:pPr>
        <w:pStyle w:val="Normal"/>
        <w:spacing w:lineRule="auto" w:line="240" w:before="0" w:after="0"/>
        <w:jc w:val="both"/>
        <w:rPr>
          <w:rFonts w:eastAsia="Calibri" w:cs="Calibri" w:cstheme="minorHAnsi"/>
          <w:color w:val="000000"/>
        </w:rPr>
      </w:pPr>
      <w:r>
        <w:rPr>
          <w:rFonts w:eastAsia="Calibri" w:cs="Calibri" w:cstheme="minorHAnsi"/>
          <w:color w:val="000000"/>
        </w:rPr>
      </w:r>
    </w:p>
    <w:p>
      <w:pPr>
        <w:pStyle w:val="Normal"/>
        <w:spacing w:lineRule="auto" w:line="240" w:before="0" w:after="0"/>
        <w:jc w:val="both"/>
        <w:rPr>
          <w:rFonts w:eastAsia="Calibri" w:cs="Calibri" w:cstheme="minorHAnsi"/>
        </w:rPr>
      </w:pPr>
      <w:r>
        <w:rPr>
          <w:rFonts w:eastAsia="Calibri" w:cs="Calibri" w:cstheme="minorHAnsi"/>
        </w:rPr>
        <w:t>Według danych Urzędu Gminy Dwikozy, aktualny stan infrastruktury sportowej przedstawia się zgodnie z poniższym zestawieniem:</w:t>
      </w:r>
    </w:p>
    <w:p>
      <w:pPr>
        <w:pStyle w:val="NoSpacing"/>
        <w:ind w:firstLine="360"/>
        <w:jc w:val="both"/>
        <w:rPr>
          <w:rFonts w:ascii="Calibri" w:hAnsi="Calibri" w:cs="Calibri" w:asciiTheme="minorHAnsi" w:cstheme="minorHAnsi" w:hAnsi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39" w:name="_Toc118887768"/>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19</w:t>
      </w:r>
      <w:r>
        <w:rPr>
          <w:b w:val="false"/>
          <w:bCs w:val="false"/>
          <w:rFonts w:cs="Calibri"/>
        </w:rPr>
        <w:fldChar w:fldCharType="end"/>
      </w:r>
      <w:r>
        <w:rPr>
          <w:rFonts w:cs="Calibri" w:cstheme="minorHAnsi"/>
          <w:b w:val="false"/>
          <w:bCs w:val="false"/>
        </w:rPr>
        <w:t xml:space="preserve"> Infrastruktura sportowa i rekreacyjna na terenie gminy Dwikozy</w:t>
      </w:r>
      <w:bookmarkEnd w:id="139"/>
    </w:p>
    <w:tbl>
      <w:tblPr>
        <w:tblW w:w="928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09"/>
        <w:gridCol w:w="2419"/>
        <w:gridCol w:w="1375"/>
        <w:gridCol w:w="2430"/>
        <w:gridCol w:w="2251"/>
      </w:tblGrid>
      <w:tr>
        <w:trPr>
          <w:trHeight w:val="792" w:hRule="atLeast"/>
        </w:trPr>
        <w:tc>
          <w:tcPr>
            <w:tcW w:w="809"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bookmarkStart w:id="140" w:name="_Hlk118560544"/>
            <w:r>
              <w:rPr>
                <w:rFonts w:eastAsia="Times New Roman" w:cs="Calibri" w:cstheme="minorHAnsi"/>
                <w:b/>
                <w:bCs/>
                <w:color w:val="000000"/>
              </w:rPr>
              <w:t>L.p.</w:t>
            </w:r>
          </w:p>
        </w:tc>
        <w:tc>
          <w:tcPr>
            <w:tcW w:w="241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Sołectwo</w:t>
            </w:r>
          </w:p>
        </w:tc>
        <w:tc>
          <w:tcPr>
            <w:tcW w:w="1375"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val="en-US"/>
              </w:rPr>
            </w:pPr>
            <w:r>
              <w:rPr>
                <w:rFonts w:eastAsia="Times New Roman" w:cs="Calibri" w:cstheme="minorHAnsi"/>
                <w:b/>
                <w:bCs/>
                <w:color w:val="000000"/>
                <w:sz w:val="20"/>
                <w:szCs w:val="20"/>
              </w:rPr>
              <w:t>BOISKO</w:t>
            </w:r>
          </w:p>
        </w:tc>
        <w:tc>
          <w:tcPr>
            <w:tcW w:w="243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val="en-US"/>
              </w:rPr>
            </w:pPr>
            <w:r>
              <w:rPr>
                <w:rFonts w:eastAsia="Times New Roman" w:cs="Calibri" w:cstheme="minorHAnsi"/>
                <w:b/>
                <w:bCs/>
                <w:color w:val="000000"/>
                <w:sz w:val="20"/>
                <w:szCs w:val="20"/>
              </w:rPr>
              <w:t>SIŁOWNIA (WEWNĘTRZNA LUB ZEWNĘTRZNA)</w:t>
            </w:r>
          </w:p>
        </w:tc>
        <w:tc>
          <w:tcPr>
            <w:tcW w:w="225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val="en-US"/>
              </w:rPr>
            </w:pPr>
            <w:r>
              <w:rPr>
                <w:rFonts w:eastAsia="Times New Roman" w:cs="Calibri" w:cstheme="minorHAnsi"/>
                <w:b/>
                <w:bCs/>
                <w:color w:val="000000"/>
                <w:sz w:val="20"/>
                <w:szCs w:val="20"/>
              </w:rPr>
              <w:t>PLAC ZABAW DLA DZIECI</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Dwikozy</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Bożydar</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Buczek</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Czermin</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5</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Gałkowice</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Gierlachów</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Góry Wysokie</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Jaroszówka</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9</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Kamień Łukawski</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10</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Kępa Chwałowska</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11</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Kolonia Gałkowice</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12</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Mściów</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13</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Nowe Kichary</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14</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Nowy Garbów</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15</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Nowy Kamień</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16</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Romanówka</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17</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Rzeczyca Mokra</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18</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Rzeczyca Sucha</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19</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Słupcza</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20</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Stare Kichary</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21</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Stary Garbów</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22</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Szczytniki</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23</w:t>
            </w:r>
          </w:p>
        </w:tc>
        <w:tc>
          <w:tcPr>
            <w:tcW w:w="24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Winiarki</w:t>
            </w:r>
          </w:p>
        </w:tc>
        <w:tc>
          <w:tcPr>
            <w:tcW w:w="13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x</w:t>
            </w:r>
          </w:p>
        </w:tc>
      </w:tr>
      <w:tr>
        <w:trPr>
          <w:trHeight w:val="288" w:hRule="atLeast"/>
        </w:trPr>
        <w:tc>
          <w:tcPr>
            <w:tcW w:w="80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24</w:t>
            </w:r>
          </w:p>
        </w:tc>
        <w:tc>
          <w:tcPr>
            <w:tcW w:w="24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Winiary</w:t>
            </w:r>
          </w:p>
        </w:tc>
        <w:tc>
          <w:tcPr>
            <w:tcW w:w="13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43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
          </w:p>
        </w:tc>
        <w:tc>
          <w:tcPr>
            <w:tcW w:w="225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bookmarkStart w:id="141" w:name="_Hlk118560544"/>
            <w:r>
              <w:rPr>
                <w:rFonts w:eastAsia="Times New Roman" w:cs="Calibri" w:cstheme="minorHAnsi"/>
                <w:color w:val="000000"/>
              </w:rPr>
              <w:t>x</w:t>
            </w:r>
            <w:bookmarkEnd w:id="141"/>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dane Urzędu Gminy Dwikozy</w:t>
      </w:r>
    </w:p>
    <w:p>
      <w:pPr>
        <w:pStyle w:val="Normal"/>
        <w:spacing w:lineRule="auto" w:line="240" w:before="0" w:after="0"/>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15 sołectw posiadało w 2021 r. dostęp do infrastruktury sportowej lub rekreacyjnej w formie boiska, siłowni lub placu zabaw dla dzieci. Na terenie gminy jest 7 sołectw, w których zlokalizowane są boiska piłkarskie (Dwikozy, Gałkowice, Gierlachów, Góry Wysokie, Mściów, Nowy Kamień oraz Szczytniki). Potrzeby rekreacyjne najmłodszych zaspokajało w 2021 r. 18 placów zabaw dla dzieci, zlokalizowanych w Dwikozach, Bożydarze, Gierlachowie, Górach Wysokich, Mściowie, Jaroszówce, Nowych Kicharach, Nowym Garbowie, Starym Garbowie na palcu szkoły, Romanówce, Rzeczycy Mokrej, Rzeczycy Suchej, Słupczy, Starych Kicharach, Szczytnikach, Winiarach, Winiarkach i Nowym Kamieniu (karuzela).</w:t>
      </w:r>
    </w:p>
    <w:p>
      <w:pPr>
        <w:pStyle w:val="Normal"/>
        <w:spacing w:lineRule="auto" w:line="240" w:before="0" w:after="0"/>
        <w:jc w:val="both"/>
        <w:rPr>
          <w:rFonts w:cs="Calibri" w:cstheme="minorHAnsi"/>
        </w:rPr>
      </w:pPr>
      <w:r>
        <w:rPr>
          <w:rFonts w:cs="Calibri" w:cstheme="minorHAnsi"/>
        </w:rPr>
        <w:t xml:space="preserve">W 7 sołectwach znajdują się siłownie (wewnętrzne lub zewnętrzne) zlokalizowane </w:t>
        <w:br/>
        <w:t xml:space="preserve">w Bożydarze, Dwikozach, Gierlachowie, Rzeczycy Mokrej, Słupczy, Jaroszówce oraz w Starym Garbowie. </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eastAsia="Calibri" w:cs="Calibri" w:cstheme="minorHAnsi"/>
        </w:rPr>
      </w:pPr>
      <w:r>
        <w:rPr>
          <w:rFonts w:eastAsia="SimSun" w:cs="Calibri" w:cstheme="minorHAnsi"/>
          <w:b/>
          <w:bCs/>
        </w:rPr>
        <w:t xml:space="preserve">Potrzeby inwestycyjne Gminy Dwikozy </w:t>
      </w:r>
      <w:r>
        <w:rPr>
          <w:rFonts w:cs="Calibri" w:cstheme="minorHAnsi"/>
          <w:b/>
          <w:bCs/>
        </w:rPr>
        <w:t>w obszarze infrastruktury społecznej oraz sportowo-rekreacyjnej</w:t>
      </w:r>
    </w:p>
    <w:p>
      <w:pPr>
        <w:pStyle w:val="Normal"/>
        <w:spacing w:lineRule="auto" w:line="240" w:before="0" w:after="0"/>
        <w:jc w:val="both"/>
        <w:rPr>
          <w:rFonts w:eastAsia="SimSun" w:cs="Calibri" w:cstheme="minorHAnsi"/>
        </w:rPr>
      </w:pPr>
      <w:r>
        <w:rPr>
          <w:rFonts w:eastAsia="SimSun" w:cs="Calibri" w:cstheme="minorHAnsi"/>
        </w:rPr>
        <w:t xml:space="preserve">Mimo dobrej jakości infrastruktury społecznej oraz sportowo-rekreacyjnej będzie oba wymagała </w:t>
        <w:br/>
        <w:t xml:space="preserve">w najbliższych latach dodatkowych nakładów (głównie związanych z modernizacją co wynika </w:t>
        <w:br/>
        <w:t>z naturalnego „starzenia się” obiektów i ich eksploatacji). W najbliższym czasie planowane są następujące inwestycje związane z infrastruktura sportowo – rekreacyjną:</w:t>
      </w:r>
    </w:p>
    <w:p>
      <w:pPr>
        <w:pStyle w:val="ListParagraph"/>
        <w:numPr>
          <w:ilvl w:val="0"/>
          <w:numId w:val="19"/>
        </w:numPr>
        <w:spacing w:lineRule="auto" w:line="240" w:before="0" w:after="0"/>
        <w:jc w:val="both"/>
        <w:rPr>
          <w:rFonts w:eastAsia="SimSun" w:cs="Calibri" w:cstheme="minorHAnsi"/>
        </w:rPr>
      </w:pPr>
      <w:r>
        <w:rPr>
          <w:rFonts w:eastAsia="SimSun" w:cs="Calibri" w:cstheme="minorHAnsi"/>
        </w:rPr>
        <w:t>budowa bazy rekreacyjno-sportowej  i społecznej (skate-park, korty tenisowe, letnie baseny, boisko ze sztuczną nawierzchnią i balonem, tor rowerowy),</w:t>
      </w:r>
    </w:p>
    <w:p>
      <w:pPr>
        <w:pStyle w:val="ListParagraph"/>
        <w:numPr>
          <w:ilvl w:val="0"/>
          <w:numId w:val="19"/>
        </w:numPr>
        <w:spacing w:lineRule="auto" w:line="240" w:before="0" w:after="0"/>
        <w:jc w:val="both"/>
        <w:rPr>
          <w:rFonts w:cs="Calibri"/>
        </w:rPr>
      </w:pPr>
      <w:r>
        <w:rPr>
          <w:rFonts w:cs="Calibri"/>
        </w:rPr>
        <w:t>zagospodarowanie terenów zielonych m.in. poprzez poprawę ich estetyki i funkcjonalności,</w:t>
      </w:r>
    </w:p>
    <w:p>
      <w:pPr>
        <w:pStyle w:val="ListParagraph"/>
        <w:numPr>
          <w:ilvl w:val="0"/>
          <w:numId w:val="19"/>
        </w:numPr>
        <w:spacing w:lineRule="auto" w:line="240" w:before="0" w:after="0"/>
        <w:jc w:val="both"/>
        <w:rPr>
          <w:rFonts w:eastAsia="Times New Roman" w:cs="Calibri"/>
          <w:color w:val="000000"/>
          <w:lang w:eastAsia="pl-PL"/>
        </w:rPr>
      </w:pPr>
      <w:r>
        <w:rPr>
          <w:rFonts w:cs="Calibri"/>
        </w:rPr>
        <w:t>remont (przebudowa) boisk sportowych (zwłaszcza) przy placówkach oświatowych na terenie gminy,</w:t>
      </w:r>
    </w:p>
    <w:p>
      <w:pPr>
        <w:pStyle w:val="ListParagraph"/>
        <w:numPr>
          <w:ilvl w:val="0"/>
          <w:numId w:val="19"/>
        </w:numPr>
        <w:spacing w:lineRule="auto" w:line="240" w:before="0" w:after="0"/>
        <w:jc w:val="both"/>
        <w:rPr>
          <w:rFonts w:eastAsia="Times New Roman" w:cs="Calibri"/>
          <w:color w:val="000000"/>
          <w:lang w:eastAsia="pl-PL"/>
        </w:rPr>
      </w:pPr>
      <w:r>
        <w:rPr>
          <w:rFonts w:cs="Calibri"/>
        </w:rPr>
        <w:t>u</w:t>
      </w:r>
      <w:r>
        <w:rPr>
          <w:rFonts w:eastAsia="Times New Roman" w:cs="Calibri"/>
          <w:color w:val="000000"/>
          <w:lang w:eastAsia="pl-PL"/>
        </w:rPr>
        <w:t>rządzenie terenów rekreacyjnych wraz z budową boisk i placów zabaw na terenie poszczególnych miejscowości, gdzie będzie taka potrzeba,</w:t>
      </w:r>
    </w:p>
    <w:p>
      <w:pPr>
        <w:pStyle w:val="ListParagraph"/>
        <w:numPr>
          <w:ilvl w:val="0"/>
          <w:numId w:val="19"/>
        </w:numPr>
        <w:spacing w:lineRule="auto" w:line="240" w:before="0" w:after="0"/>
        <w:jc w:val="both"/>
        <w:rPr/>
      </w:pPr>
      <w:r>
        <w:rPr/>
        <w:t>budowa sal gimnastycznych przy szkołach podstawowych,</w:t>
      </w:r>
    </w:p>
    <w:p>
      <w:pPr>
        <w:pStyle w:val="ListParagraph"/>
        <w:numPr>
          <w:ilvl w:val="0"/>
          <w:numId w:val="19"/>
        </w:numPr>
        <w:spacing w:lineRule="auto" w:line="240" w:before="0" w:after="0"/>
        <w:jc w:val="both"/>
        <w:rPr>
          <w:rFonts w:eastAsia="Times New Roman" w:cs="Calibri"/>
          <w:color w:val="000000" w:themeColor="text1"/>
          <w:lang w:eastAsia="pl-PL"/>
        </w:rPr>
      </w:pPr>
      <w:r>
        <w:rPr>
          <w:rFonts w:eastAsia="Times New Roman" w:cs="Calibri"/>
          <w:color w:val="000000"/>
          <w:lang w:eastAsia="pl-PL"/>
        </w:rPr>
        <w:t xml:space="preserve">budowa (rozbudowa) i/lub modernizacja (remont) stadionu/zaplecza dla klubów </w:t>
      </w:r>
      <w:r>
        <w:rPr>
          <w:rFonts w:eastAsia="Times New Roman" w:cs="Calibri"/>
          <w:color w:val="000000" w:themeColor="text1"/>
          <w:lang w:eastAsia="pl-PL"/>
        </w:rPr>
        <w:t>sportowych,</w:t>
      </w:r>
    </w:p>
    <w:p>
      <w:pPr>
        <w:pStyle w:val="ListParagraph"/>
        <w:numPr>
          <w:ilvl w:val="0"/>
          <w:numId w:val="19"/>
        </w:numPr>
        <w:spacing w:lineRule="auto" w:line="240" w:before="0" w:after="0"/>
        <w:jc w:val="both"/>
        <w:rPr>
          <w:rFonts w:cs="Calibri"/>
          <w:color w:val="000000" w:themeColor="text1"/>
        </w:rPr>
      </w:pPr>
      <w:r>
        <w:rPr>
          <w:rFonts w:cs="Calibri"/>
          <w:color w:val="000000" w:themeColor="text1"/>
        </w:rPr>
        <w:t xml:space="preserve">budowa (rozbudowa), przebudowa, modernizacja (remont) zewnętrznej infrastruktury sportowo-rekreacyjnej (siłowni zewnętrznych, placów zabaw, altan, itp.) w miejscowościach, w których istnieje taka potrzeba. </w:t>
      </w:r>
    </w:p>
    <w:p>
      <w:pPr>
        <w:pStyle w:val="NoSpacing"/>
        <w:numPr>
          <w:ilvl w:val="0"/>
          <w:numId w:val="19"/>
        </w:numPr>
        <w:jc w:val="both"/>
        <w:rPr>
          <w:rFonts w:ascii="Calibri" w:hAnsi="Calibri" w:cs="Calibri" w:asciiTheme="minorHAnsi" w:cstheme="minorHAnsi" w:hAnsiTheme="minorHAnsi"/>
          <w:i/>
          <w:i/>
          <w:iCs/>
          <w:color w:val="000000" w:themeColor="text1"/>
        </w:rPr>
      </w:pPr>
      <w:r>
        <w:rPr>
          <w:rFonts w:eastAsia="Times New Roman" w:cs="Calibri"/>
          <w:color w:val="000000" w:themeColor="text1"/>
        </w:rPr>
        <w:t>p</w:t>
      </w:r>
      <w:r>
        <w:rPr>
          <w:rFonts w:eastAsia="Times New Roman" w:cs="Calibri"/>
          <w:color w:val="000000" w:themeColor="text1"/>
          <w:lang w:eastAsia="pl-PL"/>
        </w:rPr>
        <w:t>oprawa estetyki i funkcjonalności centrum gminy i poszczególnych miejscowości (uporządkowanie, odnowienie i przystosowanie przestrzeni publicznych do pełnienia nowych funkcji, w tym  rekreacyjnych i integracyjnych).</w:t>
      </w:r>
    </w:p>
    <w:p>
      <w:pPr>
        <w:pStyle w:val="Normal"/>
        <w:spacing w:lineRule="auto" w:line="240" w:before="0" w:after="0"/>
        <w:rPr>
          <w:rFonts w:eastAsia="Times New Roman" w:cs="Calibri" w:cstheme="minorHAnsi"/>
          <w:b/>
          <w:b/>
          <w:bCs/>
          <w:color w:val="000000" w:themeColor="text1"/>
          <w:kern w:val="2"/>
          <w:highlight w:val="yellow"/>
        </w:rPr>
      </w:pPr>
      <w:r>
        <w:rPr>
          <w:rFonts w:eastAsia="Times New Roman" w:cs="Calibri" w:cstheme="minorHAnsi"/>
          <w:b/>
          <w:bCs/>
          <w:color w:val="000000" w:themeColor="text1"/>
          <w:kern w:val="2"/>
          <w:highlight w:val="yellow"/>
        </w:rPr>
      </w:r>
      <w:bookmarkStart w:id="142" w:name="_Toc69212058"/>
      <w:bookmarkStart w:id="143" w:name="_Toc69212058"/>
      <w:r>
        <w:br w:type="page"/>
      </w:r>
    </w:p>
    <w:p>
      <w:pPr>
        <w:pStyle w:val="Nagwek1"/>
        <w:numPr>
          <w:ilvl w:val="0"/>
          <w:numId w:val="1"/>
        </w:numPr>
        <w:spacing w:lineRule="auto" w:line="240" w:before="0" w:after="120"/>
        <w:ind w:left="426" w:hanging="426"/>
        <w:rPr>
          <w:rFonts w:ascii="Calibri" w:hAnsi="Calibri" w:cs="Calibri" w:asciiTheme="minorHAnsi" w:cstheme="minorHAnsi" w:hAnsiTheme="minorHAnsi"/>
        </w:rPr>
      </w:pPr>
      <w:bookmarkStart w:id="144" w:name="_Toc69212058"/>
      <w:bookmarkStart w:id="145" w:name="_Toc118887464"/>
      <w:r>
        <w:rPr>
          <w:rFonts w:cs="Calibri" w:ascii="Calibri" w:hAnsi="Calibri" w:asciiTheme="minorHAnsi" w:cstheme="minorHAnsi" w:hAnsiTheme="minorHAnsi"/>
        </w:rPr>
        <w:t>Diagnoza sytuacji społeczn</w:t>
      </w:r>
      <w:bookmarkEnd w:id="144"/>
      <w:r>
        <w:rPr>
          <w:rFonts w:cs="Calibri" w:ascii="Calibri" w:hAnsi="Calibri" w:asciiTheme="minorHAnsi" w:cstheme="minorHAnsi" w:hAnsiTheme="minorHAnsi"/>
        </w:rPr>
        <w:t>ej</w:t>
      </w:r>
      <w:bookmarkEnd w:id="145"/>
    </w:p>
    <w:p>
      <w:pPr>
        <w:pStyle w:val="Nagwek2"/>
        <w:numPr>
          <w:ilvl w:val="1"/>
          <w:numId w:val="1"/>
        </w:numPr>
        <w:spacing w:lineRule="auto" w:line="240" w:before="0" w:after="120"/>
        <w:ind w:left="426" w:hanging="426"/>
        <w:rPr>
          <w:rFonts w:ascii="Calibri" w:hAnsi="Calibri" w:cs="Calibri" w:asciiTheme="minorHAnsi" w:cstheme="minorHAnsi" w:hAnsiTheme="minorHAnsi"/>
          <w:i w:val="false"/>
          <w:i w:val="false"/>
          <w:iCs w:val="false"/>
        </w:rPr>
      </w:pPr>
      <w:bookmarkStart w:id="146" w:name="_Toc69212059"/>
      <w:r>
        <w:rPr>
          <w:rFonts w:cs="Calibri" w:ascii="Calibri" w:hAnsi="Calibri" w:asciiTheme="minorHAnsi" w:cstheme="minorHAnsi" w:hAnsiTheme="minorHAnsi"/>
          <w:i w:val="false"/>
          <w:iCs w:val="false"/>
        </w:rPr>
        <w:t xml:space="preserve"> </w:t>
      </w:r>
      <w:bookmarkStart w:id="147" w:name="_Toc118887465"/>
      <w:r>
        <w:rPr>
          <w:rFonts w:cs="Calibri" w:ascii="Calibri" w:hAnsi="Calibri" w:asciiTheme="minorHAnsi" w:cstheme="minorHAnsi" w:hAnsiTheme="minorHAnsi"/>
          <w:i w:val="false"/>
          <w:iCs w:val="false"/>
        </w:rPr>
        <w:t>Ludność i procesy demograficzne</w:t>
      </w:r>
      <w:bookmarkEnd w:id="146"/>
      <w:bookmarkEnd w:id="147"/>
    </w:p>
    <w:p>
      <w:pPr>
        <w:pStyle w:val="NoSpacing"/>
        <w:spacing w:before="0" w:after="120"/>
        <w:jc w:val="both"/>
        <w:rPr>
          <w:rFonts w:ascii="Calibri" w:hAnsi="Calibri" w:eastAsia="Times New Roman" w:cs="Calibri" w:asciiTheme="minorHAnsi" w:cstheme="minorHAnsi" w:hAnsiTheme="minorHAnsi"/>
          <w:lang w:eastAsia="pl-PL"/>
        </w:rPr>
      </w:pPr>
      <w:r>
        <w:rPr>
          <w:rFonts w:eastAsia="Times New Roman" w:cs="Calibri" w:cstheme="minorHAnsi"/>
          <w:lang w:eastAsia="pl-PL"/>
        </w:rPr>
        <w:t xml:space="preserve">Jednym z warunków rozwoju gminy jest stały wzrost potencjału ludzkiego. Samorządy rywalizują </w:t>
        <w:br/>
        <w:t>o niego poprzez pozyskiwanie nowych mieszkańców, głównie młodych i z wysokimi kwalifikacjami, co z jednej strony pozwala na budowanie lokalnego kapitału społecznego i intelektualnego oraz przyczynia się do „spowolnienia” starzenia się społeczeństwa i „odsunięcie” w czasie działań związanych z tworzeniem oferty dla ludzi starszych. Z drugiej strony, wzrost liczby mieszkańców stanowi źródło potencjalnych przyszłych dochodów gminy. Dla samorządów wiejskich lub miejsko-wiejskich oddalonych od dużych ośrodków miejskich kolejnym ważnym wyzwaniem jest stworzenie warunków dla życia i rozwoju mieszkańców, aby Ci, zwłaszcza w młodym wieku, zdecydowali się pozostać w gminie, a nie migrowali do większych ośrodków.</w:t>
      </w:r>
    </w:p>
    <w:p>
      <w:pPr>
        <w:pStyle w:val="NoSpacing"/>
        <w:ind w:firstLine="720"/>
        <w:jc w:val="both"/>
        <w:rPr>
          <w:rFonts w:ascii="Calibri" w:hAnsi="Calibri" w:cs="Calibri" w:asciiTheme="minorHAnsi" w:cstheme="minorHAnsi" w:hAnsiTheme="minorHAnsi"/>
        </w:rPr>
      </w:pPr>
      <w:r>
        <w:rPr>
          <w:rFonts w:cs="Calibri" w:cstheme="minorHAnsi"/>
        </w:rPr>
      </w:r>
    </w:p>
    <w:p>
      <w:pPr>
        <w:pStyle w:val="Normal"/>
        <w:spacing w:lineRule="auto" w:line="240" w:before="0" w:after="0"/>
        <w:jc w:val="both"/>
        <w:rPr>
          <w:rFonts w:cs="Calibri" w:cstheme="minorHAnsi"/>
        </w:rPr>
      </w:pPr>
      <w:r>
        <w:rPr>
          <w:rFonts w:cs="Calibri" w:cstheme="minorHAnsi"/>
        </w:rPr>
        <w:t>Na dzień 31.12.2021r. Gminę Dwikozy, według danych GUS, zamieszkiwało  8577 osób (o 73 osoby mniej niż w 2020 r.), z czego 50,5% stanowiły kobiety (4333), a 49,5% mężczyźni (4244).  W latach 2002-2021 liczba mieszkańców zmalała o 7,0%. Średni wiek mieszkańców wynosi 43,2 lat i jest porównywalny do średniego wieku mieszkańców województwa świętokrzyskiego oraz porównywalny do średniego wieku mieszkańców całej Polski. Gęstość zaludnienia w 2021r. na terenie gminy wynosiła 98 os./km</w:t>
      </w:r>
      <w:r>
        <w:rPr>
          <w:rFonts w:cs="Calibri" w:cstheme="minorHAnsi"/>
          <w:vertAlign w:val="superscript"/>
        </w:rPr>
        <w:t>2</w:t>
      </w:r>
      <w:r>
        <w:rPr>
          <w:rFonts w:cs="Calibri" w:cstheme="minorHAnsi"/>
        </w:rPr>
        <w:t xml:space="preserve">  i była niższa niż średnia dla powiatu sandomierskiego (109 os na km</w:t>
      </w:r>
      <w:r>
        <w:rPr>
          <w:rFonts w:cs="Calibri" w:cstheme="minorHAnsi"/>
          <w:vertAlign w:val="superscript"/>
        </w:rPr>
        <w:t>2</w:t>
      </w:r>
      <w:r>
        <w:rPr>
          <w:rFonts w:cs="Calibri" w:cstheme="minorHAnsi"/>
        </w:rPr>
        <w:t>) oraz średnia dla  województwa (103 os./km</w:t>
      </w:r>
      <w:r>
        <w:rPr>
          <w:rFonts w:cs="Calibri" w:cstheme="minorHAnsi"/>
          <w:vertAlign w:val="superscript"/>
        </w:rPr>
        <w:t>2</w:t>
      </w:r>
      <w:r>
        <w:rPr>
          <w:rFonts w:cs="Calibri" w:cstheme="minorHAnsi"/>
        </w:rPr>
        <w:t xml:space="preserve">).  58,5% mieszkańców gminy Dwikozy jest </w:t>
        <w:br/>
        <w:t>w wieku produkcyjnym, 16,7 % w wieku przedprodukcyjnym, a 24,8 % mieszkańców jest w wieku poprodukcyjnym.</w:t>
      </w:r>
    </w:p>
    <w:p>
      <w:pPr>
        <w:pStyle w:val="Normal"/>
        <w:spacing w:lineRule="auto" w:line="240" w:before="0" w:after="0"/>
        <w:jc w:val="both"/>
        <w:rPr>
          <w:rFonts w:cs="Calibri" w:cs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48" w:name="_Toc118887769"/>
      <w:bookmarkStart w:id="149" w:name="_Toc100774669"/>
      <w:bookmarkStart w:id="150" w:name="_Toc531176588"/>
      <w:bookmarkStart w:id="151" w:name="_Toc486602010"/>
      <w:bookmarkStart w:id="152" w:name="_Toc477094875"/>
      <w:bookmarkStart w:id="153" w:name="_Toc451264584"/>
      <w:r>
        <w:rPr>
          <w:rFonts w:cs="Calibri" w:cstheme="minorHAnsi"/>
          <w:b w:val="false"/>
          <w:bCs w:val="false"/>
        </w:rPr>
        <w:t xml:space="preserve">Tabela </w:t>
      </w:r>
      <w:r>
        <w:rPr>
          <w:rFonts w:cs="Calibri" w:cstheme="minorHAnsi"/>
          <w:b w:val="false"/>
          <w:bCs w:val="false"/>
          <w:i/>
          <w:iCs/>
        </w:rPr>
        <w:fldChar w:fldCharType="begin"/>
      </w:r>
      <w:r>
        <w:rPr>
          <w:i/>
          <w:b w:val="false"/>
          <w:iCs/>
          <w:bCs w:val="false"/>
          <w:rFonts w:cs="Calibri"/>
        </w:rPr>
        <w:instrText xml:space="preserve"> SEQ Tabela \* ARABIC </w:instrText>
      </w:r>
      <w:r>
        <w:rPr>
          <w:i/>
          <w:b w:val="false"/>
          <w:iCs/>
          <w:bCs w:val="false"/>
          <w:rFonts w:cs="Calibri"/>
        </w:rPr>
        <w:fldChar w:fldCharType="separate"/>
      </w:r>
      <w:r>
        <w:rPr>
          <w:i/>
          <w:b w:val="false"/>
          <w:iCs/>
          <w:bCs w:val="false"/>
          <w:rFonts w:cs="Calibri"/>
        </w:rPr>
        <w:t>20</w:t>
      </w:r>
      <w:r>
        <w:rPr>
          <w:i/>
          <w:b w:val="false"/>
          <w:iCs/>
          <w:bCs w:val="false"/>
          <w:rFonts w:cs="Calibri"/>
        </w:rPr>
        <w:fldChar w:fldCharType="end"/>
      </w:r>
      <w:r>
        <w:rPr>
          <w:rFonts w:cs="Calibri" w:cstheme="minorHAnsi"/>
          <w:b w:val="false"/>
          <w:bCs w:val="false"/>
        </w:rPr>
        <w:t xml:space="preserve"> Struktura ludności na terenie Gminy Dwikozy w latach </w:t>
      </w:r>
      <w:bookmarkEnd w:id="149"/>
      <w:bookmarkEnd w:id="150"/>
      <w:bookmarkEnd w:id="151"/>
      <w:bookmarkEnd w:id="152"/>
      <w:bookmarkEnd w:id="153"/>
      <w:r>
        <w:rPr>
          <w:rFonts w:cs="Calibri" w:cstheme="minorHAnsi"/>
          <w:b w:val="false"/>
          <w:bCs w:val="false"/>
        </w:rPr>
        <w:t>2015-2021</w:t>
      </w:r>
      <w:bookmarkEnd w:id="148"/>
    </w:p>
    <w:tbl>
      <w:tblPr>
        <w:tblW w:w="10317" w:type="dxa"/>
        <w:jc w:val="left"/>
        <w:tblInd w:w="-213" w:type="dxa"/>
        <w:tblLayout w:type="fixed"/>
        <w:tblCellMar>
          <w:top w:w="0" w:type="dxa"/>
          <w:left w:w="70" w:type="dxa"/>
          <w:bottom w:w="0" w:type="dxa"/>
          <w:right w:w="70" w:type="dxa"/>
        </w:tblCellMar>
        <w:tblLook w:firstRow="1" w:noVBand="1" w:lastRow="0" w:firstColumn="1" w:lastColumn="0" w:noHBand="0" w:val="04a0"/>
      </w:tblPr>
      <w:tblGrid>
        <w:gridCol w:w="3397"/>
        <w:gridCol w:w="1119"/>
        <w:gridCol w:w="1000"/>
        <w:gridCol w:w="961"/>
        <w:gridCol w:w="959"/>
        <w:gridCol w:w="961"/>
        <w:gridCol w:w="959"/>
        <w:gridCol w:w="959"/>
      </w:tblGrid>
      <w:tr>
        <w:trPr>
          <w:trHeight w:val="300" w:hRule="atLeast"/>
        </w:trPr>
        <w:tc>
          <w:tcPr>
            <w:tcW w:w="339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Wyszczególnienie</w:t>
            </w:r>
          </w:p>
        </w:tc>
        <w:tc>
          <w:tcPr>
            <w:tcW w:w="111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2015</w:t>
            </w:r>
          </w:p>
        </w:tc>
        <w:tc>
          <w:tcPr>
            <w:tcW w:w="100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2017</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2018</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2019</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2020</w:t>
            </w:r>
          </w:p>
        </w:tc>
        <w:tc>
          <w:tcPr>
            <w:tcW w:w="959"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cs="Calibri" w:cstheme="minorHAnsi"/>
                <w:b/>
                <w:bCs/>
              </w:rPr>
              <w:t>2021</w:t>
            </w:r>
          </w:p>
        </w:tc>
      </w:tr>
      <w:tr>
        <w:trPr>
          <w:trHeight w:val="300" w:hRule="atLeast"/>
        </w:trPr>
        <w:tc>
          <w:tcPr>
            <w:tcW w:w="339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Ogółem</w:t>
            </w:r>
          </w:p>
        </w:tc>
        <w:tc>
          <w:tcPr>
            <w:tcW w:w="11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8 793</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8 879</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8 859</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8 778</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8 709</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8 650</w:t>
            </w:r>
          </w:p>
        </w:tc>
        <w:tc>
          <w:tcPr>
            <w:tcW w:w="95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8 577</w:t>
            </w:r>
          </w:p>
        </w:tc>
      </w:tr>
      <w:tr>
        <w:trPr>
          <w:trHeight w:val="300" w:hRule="atLeast"/>
        </w:trPr>
        <w:tc>
          <w:tcPr>
            <w:tcW w:w="339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1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4524</w:t>
            </w:r>
          </w:p>
        </w:tc>
        <w:tc>
          <w:tcPr>
            <w:tcW w:w="100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4 507</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4 495</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4 439</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4 382</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4 375</w:t>
            </w:r>
          </w:p>
        </w:tc>
        <w:tc>
          <w:tcPr>
            <w:tcW w:w="959"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4 333</w:t>
            </w:r>
          </w:p>
        </w:tc>
      </w:tr>
      <w:tr>
        <w:trPr>
          <w:trHeight w:val="300" w:hRule="atLeast"/>
        </w:trPr>
        <w:tc>
          <w:tcPr>
            <w:tcW w:w="339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1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4269</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4 372</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4 364</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4 339</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4 327</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4 275</w:t>
            </w:r>
          </w:p>
        </w:tc>
        <w:tc>
          <w:tcPr>
            <w:tcW w:w="95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4244</w:t>
            </w:r>
          </w:p>
        </w:tc>
      </w:tr>
      <w:tr>
        <w:trPr>
          <w:trHeight w:val="600" w:hRule="atLeast"/>
        </w:trPr>
        <w:tc>
          <w:tcPr>
            <w:tcW w:w="339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wieku przedprodukcyjnym - 14 lat i mniej,  w tym</w:t>
            </w:r>
          </w:p>
        </w:tc>
        <w:tc>
          <w:tcPr>
            <w:tcW w:w="11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1 136</w:t>
            </w:r>
          </w:p>
        </w:tc>
        <w:tc>
          <w:tcPr>
            <w:tcW w:w="100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1 149</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1 129</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1 129</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1 118</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1 107</w:t>
            </w:r>
          </w:p>
        </w:tc>
        <w:tc>
          <w:tcPr>
            <w:tcW w:w="95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1 111</w:t>
            </w:r>
          </w:p>
        </w:tc>
      </w:tr>
      <w:tr>
        <w:trPr>
          <w:trHeight w:val="300" w:hRule="atLeast"/>
        </w:trPr>
        <w:tc>
          <w:tcPr>
            <w:tcW w:w="339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1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542</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543</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534</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542</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541</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539</w:t>
            </w:r>
          </w:p>
        </w:tc>
        <w:tc>
          <w:tcPr>
            <w:tcW w:w="95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545</w:t>
            </w:r>
          </w:p>
        </w:tc>
      </w:tr>
      <w:tr>
        <w:trPr>
          <w:trHeight w:val="300" w:hRule="atLeast"/>
        </w:trPr>
        <w:tc>
          <w:tcPr>
            <w:tcW w:w="339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1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594</w:t>
            </w:r>
          </w:p>
        </w:tc>
        <w:tc>
          <w:tcPr>
            <w:tcW w:w="100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606</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595</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587</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577</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568</w:t>
            </w:r>
          </w:p>
        </w:tc>
        <w:tc>
          <w:tcPr>
            <w:tcW w:w="959"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566</w:t>
            </w:r>
          </w:p>
        </w:tc>
      </w:tr>
      <w:tr>
        <w:trPr>
          <w:trHeight w:val="600" w:hRule="atLeast"/>
        </w:trPr>
        <w:tc>
          <w:tcPr>
            <w:tcW w:w="339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 xml:space="preserve">w wieku produkcyjnym: 15-59 lat kobiety, 15-64 lata mężczyźni, </w:t>
              <w:br/>
              <w:t>w tym:</w:t>
            </w:r>
          </w:p>
        </w:tc>
        <w:tc>
          <w:tcPr>
            <w:tcW w:w="11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5 926</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5 813</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5 774</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5 674</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5 558</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5 476</w:t>
            </w:r>
          </w:p>
        </w:tc>
        <w:tc>
          <w:tcPr>
            <w:tcW w:w="9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5 404</w:t>
            </w:r>
          </w:p>
        </w:tc>
      </w:tr>
      <w:tr>
        <w:trPr>
          <w:trHeight w:val="300" w:hRule="atLeast"/>
        </w:trPr>
        <w:tc>
          <w:tcPr>
            <w:tcW w:w="339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1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2682</w:t>
            </w:r>
          </w:p>
        </w:tc>
        <w:tc>
          <w:tcPr>
            <w:tcW w:w="100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2 624</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2 611</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2 551</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2 478</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2 460</w:t>
            </w:r>
          </w:p>
        </w:tc>
        <w:tc>
          <w:tcPr>
            <w:tcW w:w="959"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2 436</w:t>
            </w:r>
          </w:p>
        </w:tc>
      </w:tr>
      <w:tr>
        <w:trPr>
          <w:trHeight w:val="300" w:hRule="atLeast"/>
        </w:trPr>
        <w:tc>
          <w:tcPr>
            <w:tcW w:w="339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1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3244</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3 189</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3 163</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3 123</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3 080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3 016</w:t>
            </w:r>
          </w:p>
        </w:tc>
        <w:tc>
          <w:tcPr>
            <w:tcW w:w="95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2 968</w:t>
            </w:r>
          </w:p>
        </w:tc>
      </w:tr>
      <w:tr>
        <w:trPr>
          <w:trHeight w:val="300" w:hRule="atLeast"/>
        </w:trPr>
        <w:tc>
          <w:tcPr>
            <w:tcW w:w="339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wieku poprodukcyjnym, w tym:</w:t>
            </w:r>
          </w:p>
        </w:tc>
        <w:tc>
          <w:tcPr>
            <w:tcW w:w="11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1 851</w:t>
            </w:r>
          </w:p>
        </w:tc>
        <w:tc>
          <w:tcPr>
            <w:tcW w:w="100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1 917</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1 956</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1 975</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2 033</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2 067</w:t>
            </w:r>
          </w:p>
        </w:tc>
        <w:tc>
          <w:tcPr>
            <w:tcW w:w="95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2 062</w:t>
            </w:r>
          </w:p>
        </w:tc>
      </w:tr>
      <w:tr>
        <w:trPr>
          <w:trHeight w:val="300" w:hRule="atLeast"/>
        </w:trPr>
        <w:tc>
          <w:tcPr>
            <w:tcW w:w="339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1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1300</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1 340</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1 350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1 346</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1 363</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1 376</w:t>
            </w:r>
          </w:p>
        </w:tc>
        <w:tc>
          <w:tcPr>
            <w:tcW w:w="95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1 352</w:t>
            </w:r>
          </w:p>
        </w:tc>
      </w:tr>
      <w:tr>
        <w:trPr>
          <w:trHeight w:val="300" w:hRule="atLeast"/>
        </w:trPr>
        <w:tc>
          <w:tcPr>
            <w:tcW w:w="339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11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551</w:t>
            </w:r>
          </w:p>
        </w:tc>
        <w:tc>
          <w:tcPr>
            <w:tcW w:w="100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577</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606</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629</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670</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691</w:t>
            </w:r>
          </w:p>
        </w:tc>
        <w:tc>
          <w:tcPr>
            <w:tcW w:w="959"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rPr>
              <w:t>710</w:t>
            </w:r>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rmal"/>
        <w:spacing w:lineRule="auto" w:line="240" w:before="0" w:after="0"/>
        <w:jc w:val="both"/>
        <w:rPr>
          <w:rFonts w:cs="Calibri" w:cstheme="minorHAnsi"/>
          <w:i/>
          <w:i/>
          <w:iCs/>
        </w:rPr>
      </w:pPr>
      <w:r>
        <w:rPr>
          <w:rFonts w:cs="Calibri" w:cstheme="minorHAnsi"/>
          <w:i/>
          <w:iCs/>
        </w:rPr>
      </w:r>
    </w:p>
    <w:p>
      <w:pPr>
        <w:pStyle w:val="Normal"/>
        <w:spacing w:lineRule="auto" w:line="240" w:before="0" w:after="0"/>
        <w:jc w:val="both"/>
        <w:rPr>
          <w:rFonts w:cs="Calibri" w:cstheme="minorHAnsi"/>
          <w:highlight w:val="yellow"/>
        </w:rPr>
      </w:pPr>
      <w:r>
        <w:rPr>
          <w:rFonts w:cs="Calibri" w:cstheme="minorHAnsi"/>
          <w:highlight w:val="yellow"/>
        </w:rPr>
      </w:r>
    </w:p>
    <w:p>
      <w:pPr>
        <w:pStyle w:val="Normal"/>
        <w:rPr>
          <w:rFonts w:cs="Calibri" w:cstheme="minorHAnsi"/>
          <w:highlight w:val="yellow"/>
        </w:rPr>
      </w:pPr>
      <w:r>
        <w:rPr>
          <w:rFonts w:cs="Calibri" w:cstheme="minorHAnsi"/>
          <w:highlight w:val="yellow"/>
        </w:rPr>
      </w:r>
      <w:r>
        <w:br w:type="page"/>
      </w:r>
    </w:p>
    <w:p>
      <w:pPr>
        <w:pStyle w:val="Normal"/>
        <w:spacing w:lineRule="auto" w:line="240" w:before="0" w:after="0"/>
        <w:jc w:val="both"/>
        <w:rPr>
          <w:rFonts w:cs="Calibri" w:cs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54" w:name="_Toc118887428"/>
      <w:r>
        <w:rPr>
          <w:rFonts w:cs="Calibri" w:cstheme="minorHAnsi"/>
          <w:b w:val="false"/>
          <w:bCs w:val="false"/>
        </w:rPr>
        <w:t xml:space="preserve">Wykres </w:t>
      </w:r>
      <w:r>
        <w:rPr>
          <w:rFonts w:cs="Calibri" w:cstheme="minorHAnsi"/>
          <w:b w:val="false"/>
          <w:bCs w:val="false"/>
        </w:rPr>
        <w:fldChar w:fldCharType="begin"/>
      </w:r>
      <w:r>
        <w:rPr>
          <w:b w:val="false"/>
          <w:bCs w:val="false"/>
          <w:rFonts w:cs="Calibri"/>
        </w:rPr>
        <w:instrText xml:space="preserve"> SEQ Wykres \* ARABIC </w:instrText>
      </w:r>
      <w:r>
        <w:rPr>
          <w:b w:val="false"/>
          <w:bCs w:val="false"/>
          <w:rFonts w:cs="Calibri"/>
        </w:rPr>
        <w:fldChar w:fldCharType="separate"/>
      </w:r>
      <w:r>
        <w:rPr>
          <w:b w:val="false"/>
          <w:bCs w:val="false"/>
          <w:rFonts w:cs="Calibri"/>
        </w:rPr>
        <w:t>1</w:t>
      </w:r>
      <w:r>
        <w:rPr>
          <w:b w:val="false"/>
          <w:bCs w:val="false"/>
          <w:rFonts w:cs="Calibri"/>
        </w:rPr>
        <w:fldChar w:fldCharType="end"/>
      </w:r>
      <w:r>
        <w:rPr>
          <w:rFonts w:cs="Calibri" w:cstheme="minorHAnsi"/>
          <w:b w:val="false"/>
          <w:bCs w:val="false"/>
        </w:rPr>
        <w:t xml:space="preserve"> Struktura ludności na terenie Gminy Dwikozy w latach 2015-2021</w:t>
      </w:r>
      <w:bookmarkEnd w:id="154"/>
    </w:p>
    <w:p>
      <w:pPr>
        <w:pStyle w:val="Normal"/>
        <w:spacing w:lineRule="auto" w:line="240" w:before="0" w:after="0"/>
        <w:ind w:left="-284" w:hanging="0"/>
        <w:jc w:val="center"/>
        <w:rPr>
          <w:rFonts w:cs="Calibri" w:cstheme="minorHAnsi"/>
        </w:rPr>
      </w:pPr>
      <w:r>
        <w:rPr/>
        <w:drawing>
          <wp:inline distT="0" distB="0" distL="0" distR="0">
            <wp:extent cx="6429375" cy="228600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rmal"/>
        <w:spacing w:lineRule="auto" w:line="240" w:before="0" w:after="0"/>
        <w:jc w:val="both"/>
        <w:rPr>
          <w:rFonts w:cs="Calibri" w:cstheme="minorHAnsi"/>
          <w:highlight w:val="yellow"/>
        </w:rPr>
      </w:pPr>
      <w:r>
        <w:rPr>
          <w:rFonts w:cs="Calibri" w:cstheme="minorHAnsi"/>
          <w:highlight w:val="yellow"/>
        </w:rPr>
      </w:r>
    </w:p>
    <w:p>
      <w:pPr>
        <w:pStyle w:val="Normal"/>
        <w:spacing w:lineRule="auto" w:line="240" w:before="0" w:after="0"/>
        <w:jc w:val="both"/>
        <w:rPr>
          <w:rFonts w:cs="Calibri" w:cstheme="minorHAnsi"/>
        </w:rPr>
      </w:pPr>
      <w:r>
        <w:rPr>
          <w:rFonts w:cs="Calibri" w:cstheme="minorHAnsi"/>
        </w:rPr>
        <w:t>W 2021r. Gmina Dwikozy miała ujemny przyrost naturalny wynoszący – 85</w:t>
      </w:r>
      <w:bookmarkStart w:id="155" w:name="_Toc100774724"/>
      <w:bookmarkStart w:id="156" w:name="_Toc531176626"/>
      <w:r>
        <w:rPr>
          <w:rFonts w:cs="Calibri" w:cstheme="minorHAnsi"/>
        </w:rPr>
        <w:t>, co odpowiada  przyrostowi naturalnemu -7,84 na 1000 mieszkańców gminy Dwikozy. W 2021 roku urodziło się 66 dzieci, w tym 45,5% dziewczynek i 55,5% chłopców. Współczynnik dynamiki demograficznej, czyli stosunek liczby urodzeń żywych do liczby zgonów wynosi 0,56 i jest porównywalny do średniej dla województwa oraz znacznie mniejszy od współczynnika dynamiki demograficznej dla całego kraju.</w:t>
      </w:r>
    </w:p>
    <w:p>
      <w:pPr>
        <w:pStyle w:val="Normal"/>
        <w:spacing w:lineRule="auto" w:line="240" w:before="0" w:after="0"/>
        <w:jc w:val="both"/>
        <w:rPr>
          <w:rFonts w:cs="Calibri" w:cstheme="minorHAnsi"/>
          <w:b/>
          <w:b/>
          <w:bCs/>
        </w:rPr>
      </w:pPr>
      <w:r>
        <w:rPr>
          <w:rFonts w:cs="Calibri" w:cstheme="minorHAnsi"/>
          <w:b/>
          <w:bCs/>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57" w:name="_Toc118887429"/>
      <w:r>
        <w:rPr>
          <w:rFonts w:cs="Calibri" w:cstheme="minorHAnsi"/>
          <w:b w:val="false"/>
          <w:bCs w:val="false"/>
        </w:rPr>
        <w:t xml:space="preserve">Wykres </w:t>
      </w:r>
      <w:r>
        <w:rPr>
          <w:rFonts w:cs="Calibri" w:cstheme="minorHAnsi"/>
          <w:b w:val="false"/>
          <w:bCs w:val="false"/>
        </w:rPr>
        <w:fldChar w:fldCharType="begin"/>
      </w:r>
      <w:r>
        <w:rPr>
          <w:b w:val="false"/>
          <w:bCs w:val="false"/>
          <w:rFonts w:cs="Calibri"/>
        </w:rPr>
        <w:instrText xml:space="preserve"> SEQ Wykres \* ARABIC </w:instrText>
      </w:r>
      <w:r>
        <w:rPr>
          <w:b w:val="false"/>
          <w:bCs w:val="false"/>
          <w:rFonts w:cs="Calibri"/>
        </w:rPr>
        <w:fldChar w:fldCharType="separate"/>
      </w:r>
      <w:r>
        <w:rPr>
          <w:b w:val="false"/>
          <w:bCs w:val="false"/>
          <w:rFonts w:cs="Calibri"/>
        </w:rPr>
        <w:t>2</w:t>
      </w:r>
      <w:r>
        <w:rPr>
          <w:b w:val="false"/>
          <w:bCs w:val="false"/>
          <w:rFonts w:cs="Calibri"/>
        </w:rPr>
        <w:fldChar w:fldCharType="end"/>
      </w:r>
      <w:r>
        <w:rPr>
          <w:rFonts w:cs="Calibri" w:cstheme="minorHAnsi"/>
          <w:b w:val="false"/>
          <w:bCs w:val="false"/>
        </w:rPr>
        <w:t xml:space="preserve"> Przyrost naturalny w gminie</w:t>
      </w:r>
      <w:bookmarkEnd w:id="156"/>
      <w:r>
        <w:rPr>
          <w:rFonts w:cs="Calibri" w:cstheme="minorHAnsi"/>
          <w:b w:val="false"/>
          <w:bCs w:val="false"/>
        </w:rPr>
        <w:t xml:space="preserve"> Dwikozy w latach 2015-202</w:t>
      </w:r>
      <w:bookmarkEnd w:id="155"/>
      <w:r>
        <w:rPr>
          <w:rFonts w:cs="Calibri" w:cstheme="minorHAnsi"/>
          <w:b w:val="false"/>
          <w:bCs w:val="false"/>
        </w:rPr>
        <w:t>1</w:t>
      </w:r>
      <w:bookmarkEnd w:id="157"/>
    </w:p>
    <w:p>
      <w:pPr>
        <w:pStyle w:val="Normal"/>
        <w:spacing w:lineRule="auto" w:line="240" w:before="0" w:after="0"/>
        <w:rPr>
          <w:rFonts w:cs="Calibri" w:cstheme="minorHAnsi"/>
        </w:rPr>
      </w:pPr>
      <w:r>
        <w:rPr/>
        <w:drawing>
          <wp:inline distT="0" distB="0" distL="0" distR="0">
            <wp:extent cx="5734050" cy="2331720"/>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Normal"/>
        <w:spacing w:lineRule="auto" w:line="240" w:before="0" w:after="0"/>
        <w:jc w:val="center"/>
        <w:rPr>
          <w:rFonts w:eastAsia="Times New Roman" w:cs="Calibri" w:cstheme="minorHAnsi"/>
          <w:sz w:val="20"/>
          <w:szCs w:val="20"/>
          <w:lang w:eastAsia="pl-PL"/>
        </w:rPr>
      </w:pPr>
      <w:r>
        <w:rPr>
          <w:rFonts w:eastAsia="Times New Roman" w:cs="Calibri" w:cstheme="minorHAnsi"/>
          <w:sz w:val="20"/>
          <w:szCs w:val="20"/>
          <w:lang w:eastAsia="pl-PL"/>
        </w:rPr>
        <w:t>Źródło: opracowanie własne na podstawie danych GUS</w:t>
      </w:r>
    </w:p>
    <w:p>
      <w:pPr>
        <w:pStyle w:val="Caption"/>
        <w:spacing w:lineRule="auto" w:line="240" w:before="0" w:after="0"/>
        <w:rPr>
          <w:rFonts w:ascii="Calibri" w:hAnsi="Calibri" w:cs="Calibri" w:asciiTheme="minorHAnsi" w:cstheme="minorHAnsi" w:hAnsiTheme="minorHAnsi"/>
          <w:b w:val="false"/>
          <w:b w:val="false"/>
          <w:bCs w:val="false"/>
          <w:i/>
          <w:i/>
          <w:iCs/>
          <w:sz w:val="22"/>
          <w:szCs w:val="22"/>
          <w:highlight w:val="yellow"/>
        </w:rPr>
      </w:pPr>
      <w:r>
        <w:rPr>
          <w:rFonts w:cs="Calibri" w:cstheme="minorHAnsi"/>
          <w:b w:val="false"/>
          <w:bCs w:val="false"/>
          <w:i/>
          <w:iCs/>
          <w:sz w:val="22"/>
          <w:szCs w:val="22"/>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i/>
          <w:i/>
          <w:iCs/>
        </w:rPr>
      </w:pPr>
      <w:bookmarkStart w:id="158" w:name="_Toc118887770"/>
      <w:bookmarkStart w:id="159" w:name="_Toc100774670"/>
      <w:r>
        <w:rPr>
          <w:rFonts w:cs="Calibri" w:cstheme="minorHAnsi"/>
          <w:b w:val="false"/>
          <w:bCs w:val="false"/>
        </w:rPr>
        <w:t xml:space="preserve">Tabela </w:t>
      </w:r>
      <w:r>
        <w:rPr>
          <w:rFonts w:cs="Calibri" w:cstheme="minorHAnsi"/>
          <w:b w:val="false"/>
          <w:bCs w:val="false"/>
          <w:i/>
          <w:iCs/>
        </w:rPr>
        <w:fldChar w:fldCharType="begin"/>
      </w:r>
      <w:r>
        <w:rPr>
          <w:i/>
          <w:b w:val="false"/>
          <w:iCs/>
          <w:bCs w:val="false"/>
          <w:rFonts w:cs="Calibri"/>
        </w:rPr>
        <w:instrText xml:space="preserve"> SEQ Tabela \* ARABIC </w:instrText>
      </w:r>
      <w:r>
        <w:rPr>
          <w:i/>
          <w:b w:val="false"/>
          <w:iCs/>
          <w:bCs w:val="false"/>
          <w:rFonts w:cs="Calibri"/>
        </w:rPr>
        <w:fldChar w:fldCharType="separate"/>
      </w:r>
      <w:r>
        <w:rPr>
          <w:i/>
          <w:b w:val="false"/>
          <w:iCs/>
          <w:bCs w:val="false"/>
          <w:rFonts w:cs="Calibri"/>
        </w:rPr>
        <w:t>21</w:t>
      </w:r>
      <w:r>
        <w:rPr>
          <w:i/>
          <w:b w:val="false"/>
          <w:iCs/>
          <w:bCs w:val="false"/>
          <w:rFonts w:cs="Calibri"/>
        </w:rPr>
        <w:fldChar w:fldCharType="end"/>
      </w:r>
      <w:r>
        <w:rPr>
          <w:rFonts w:cs="Calibri" w:cstheme="minorHAnsi"/>
          <w:b w:val="false"/>
          <w:bCs w:val="false"/>
        </w:rPr>
        <w:t xml:space="preserve"> Przyrost naturalny w gminie Dwikozy w latach 2016-202</w:t>
      </w:r>
      <w:bookmarkEnd w:id="159"/>
      <w:r>
        <w:rPr>
          <w:rFonts w:cs="Calibri" w:cstheme="minorHAnsi"/>
          <w:b w:val="false"/>
          <w:bCs w:val="false"/>
        </w:rPr>
        <w:t>1</w:t>
      </w:r>
      <w:bookmarkEnd w:id="158"/>
    </w:p>
    <w:tbl>
      <w:tblPr>
        <w:tblW w:w="856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340"/>
        <w:gridCol w:w="1420"/>
        <w:gridCol w:w="959"/>
        <w:gridCol w:w="961"/>
        <w:gridCol w:w="959"/>
        <w:gridCol w:w="961"/>
        <w:gridCol w:w="959"/>
      </w:tblGrid>
      <w:tr>
        <w:trPr>
          <w:trHeight w:val="300" w:hRule="atLeast"/>
        </w:trPr>
        <w:tc>
          <w:tcPr>
            <w:tcW w:w="234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bookmarkStart w:id="160" w:name="_Hlk118561411"/>
            <w:r>
              <w:rPr>
                <w:rFonts w:eastAsia="Times New Roman" w:cs="Calibri" w:cstheme="minorHAnsi"/>
                <w:b/>
                <w:bCs/>
                <w:lang w:eastAsia="pl-PL"/>
              </w:rPr>
              <w:t> </w:t>
            </w:r>
            <w:r>
              <w:rPr>
                <w:rFonts w:eastAsia="Times New Roman" w:cs="Calibri" w:cstheme="minorHAnsi"/>
                <w:b/>
                <w:bCs/>
                <w:lang w:eastAsia="pl-PL"/>
              </w:rPr>
              <w:t>Wyszczególnienie</w:t>
            </w:r>
          </w:p>
        </w:tc>
        <w:tc>
          <w:tcPr>
            <w:tcW w:w="142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2017</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2018</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2019</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2020</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2021</w:t>
            </w:r>
          </w:p>
        </w:tc>
      </w:tr>
      <w:tr>
        <w:trPr>
          <w:trHeight w:val="300" w:hRule="atLeast"/>
        </w:trPr>
        <w:tc>
          <w:tcPr>
            <w:tcW w:w="23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Urodzenia żywe</w:t>
            </w:r>
          </w:p>
        </w:tc>
        <w:tc>
          <w:tcPr>
            <w:tcW w:w="14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65</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73</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84</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66</w:t>
            </w:r>
          </w:p>
        </w:tc>
      </w:tr>
      <w:tr>
        <w:trPr>
          <w:trHeight w:val="300" w:hRule="atLeast"/>
        </w:trPr>
        <w:tc>
          <w:tcPr>
            <w:tcW w:w="234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4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31</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38</w:t>
            </w:r>
          </w:p>
        </w:tc>
        <w:tc>
          <w:tcPr>
            <w:tcW w:w="96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45</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32</w:t>
            </w:r>
          </w:p>
        </w:tc>
        <w:tc>
          <w:tcPr>
            <w:tcW w:w="96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32</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30</w:t>
            </w:r>
          </w:p>
        </w:tc>
      </w:tr>
      <w:tr>
        <w:trPr>
          <w:trHeight w:val="300" w:hRule="atLeast"/>
        </w:trPr>
        <w:tc>
          <w:tcPr>
            <w:tcW w:w="23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4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49</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27</w:t>
            </w:r>
          </w:p>
        </w:tc>
        <w:tc>
          <w:tcPr>
            <w:tcW w:w="96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28</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52</w:t>
            </w:r>
          </w:p>
        </w:tc>
        <w:tc>
          <w:tcPr>
            <w:tcW w:w="96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27</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36</w:t>
            </w:r>
          </w:p>
        </w:tc>
      </w:tr>
      <w:tr>
        <w:trPr>
          <w:trHeight w:val="194" w:hRule="atLeast"/>
        </w:trPr>
        <w:tc>
          <w:tcPr>
            <w:tcW w:w="234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Zgony ogółem</w:t>
            </w:r>
          </w:p>
        </w:tc>
        <w:tc>
          <w:tcPr>
            <w:tcW w:w="142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98</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109</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109</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113</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127</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151</w:t>
            </w:r>
          </w:p>
        </w:tc>
      </w:tr>
      <w:tr>
        <w:trPr>
          <w:trHeight w:val="300" w:hRule="atLeast"/>
        </w:trPr>
        <w:tc>
          <w:tcPr>
            <w:tcW w:w="23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4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w:t>
            </w:r>
          </w:p>
        </w:tc>
        <w:tc>
          <w:tcPr>
            <w:tcW w:w="96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65</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w:t>
            </w:r>
          </w:p>
        </w:tc>
        <w:tc>
          <w:tcPr>
            <w:tcW w:w="96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61</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79</w:t>
            </w:r>
          </w:p>
        </w:tc>
      </w:tr>
      <w:tr>
        <w:trPr>
          <w:trHeight w:val="300" w:hRule="atLeast"/>
        </w:trPr>
        <w:tc>
          <w:tcPr>
            <w:tcW w:w="234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4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45</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50</w:t>
            </w:r>
          </w:p>
        </w:tc>
        <w:tc>
          <w:tcPr>
            <w:tcW w:w="96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44</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w:t>
            </w:r>
          </w:p>
        </w:tc>
        <w:tc>
          <w:tcPr>
            <w:tcW w:w="96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66</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72</w:t>
            </w:r>
          </w:p>
        </w:tc>
      </w:tr>
      <w:tr>
        <w:trPr>
          <w:trHeight w:val="135" w:hRule="atLeast"/>
        </w:trPr>
        <w:tc>
          <w:tcPr>
            <w:tcW w:w="23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Zgony niemowląt</w:t>
            </w:r>
          </w:p>
        </w:tc>
        <w:tc>
          <w:tcPr>
            <w:tcW w:w="14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r>
      <w:tr>
        <w:trPr>
          <w:trHeight w:val="300" w:hRule="atLeast"/>
        </w:trPr>
        <w:tc>
          <w:tcPr>
            <w:tcW w:w="234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4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6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6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r>
      <w:tr>
        <w:trPr>
          <w:trHeight w:val="300" w:hRule="atLeast"/>
        </w:trPr>
        <w:tc>
          <w:tcPr>
            <w:tcW w:w="23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4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6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c>
          <w:tcPr>
            <w:tcW w:w="96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5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r>
      <w:tr>
        <w:trPr>
          <w:trHeight w:val="300" w:hRule="atLeast"/>
        </w:trPr>
        <w:tc>
          <w:tcPr>
            <w:tcW w:w="234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Przyrost naturalny</w:t>
            </w:r>
          </w:p>
        </w:tc>
        <w:tc>
          <w:tcPr>
            <w:tcW w:w="142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-44</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-36</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-29</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-68</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-85</w:t>
            </w:r>
          </w:p>
        </w:tc>
      </w:tr>
      <w:tr>
        <w:trPr>
          <w:trHeight w:val="300" w:hRule="atLeast"/>
        </w:trPr>
        <w:tc>
          <w:tcPr>
            <w:tcW w:w="23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14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-22</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-21</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-28</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-29</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-49</w:t>
            </w:r>
          </w:p>
        </w:tc>
      </w:tr>
      <w:tr>
        <w:trPr>
          <w:trHeight w:val="300" w:hRule="atLeast"/>
        </w:trPr>
        <w:tc>
          <w:tcPr>
            <w:tcW w:w="234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142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-23</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-16</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c>
          <w:tcPr>
            <w:tcW w:w="96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-39</w:t>
            </w:r>
          </w:p>
        </w:tc>
        <w:tc>
          <w:tcPr>
            <w:tcW w:w="95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bookmarkStart w:id="161" w:name="_Hlk118561411"/>
            <w:r>
              <w:rPr>
                <w:rFonts w:eastAsia="Times New Roman" w:cs="Calibri" w:cstheme="minorHAnsi"/>
                <w:lang w:eastAsia="pl-PL"/>
              </w:rPr>
              <w:t>-36</w:t>
            </w:r>
            <w:bookmarkEnd w:id="161"/>
          </w:p>
        </w:tc>
      </w:tr>
    </w:tbl>
    <w:p>
      <w:pPr>
        <w:pStyle w:val="Normal"/>
        <w:spacing w:lineRule="auto" w:line="240" w:before="0" w:after="0"/>
        <w:jc w:val="center"/>
        <w:rPr>
          <w:rFonts w:eastAsia="Times New Roman" w:cs="Calibri" w:cstheme="minorHAnsi"/>
          <w:sz w:val="20"/>
          <w:szCs w:val="20"/>
          <w:lang w:eastAsia="pl-PL"/>
        </w:rPr>
      </w:pPr>
      <w:r>
        <w:rPr>
          <w:rFonts w:eastAsia="Times New Roman" w:cs="Calibri" w:cstheme="minorHAnsi"/>
          <w:sz w:val="20"/>
          <w:szCs w:val="20"/>
          <w:lang w:eastAsia="pl-PL"/>
        </w:rPr>
        <w:t>Źródło: opracowanie własne na podstawie danych GUS</w:t>
      </w:r>
    </w:p>
    <w:p>
      <w:pPr>
        <w:pStyle w:val="Caption"/>
        <w:spacing w:lineRule="auto" w:line="240" w:before="0" w:after="0"/>
        <w:rPr>
          <w:rFonts w:ascii="Calibri" w:hAnsi="Calibri" w:cs="Calibri" w:asciiTheme="minorHAnsi" w:cstheme="minorHAnsi" w:hAnsiTheme="minorHAnsi"/>
          <w:sz w:val="22"/>
          <w:szCs w:val="22"/>
          <w:highlight w:val="yellow"/>
        </w:rPr>
      </w:pPr>
      <w:r>
        <w:rPr>
          <w:rFonts w:cs="Calibri" w:cstheme="minorHAnsi"/>
          <w:sz w:val="22"/>
          <w:szCs w:val="22"/>
          <w:highlight w:val="yellow"/>
        </w:rPr>
      </w:r>
    </w:p>
    <w:p>
      <w:pPr>
        <w:pStyle w:val="Normal"/>
        <w:spacing w:lineRule="auto" w:line="240" w:before="0" w:after="0"/>
        <w:jc w:val="both"/>
        <w:rPr>
          <w:rFonts w:cs="Calibri" w:cstheme="minorHAnsi"/>
          <w:b/>
          <w:b/>
          <w:bCs/>
        </w:rPr>
      </w:pPr>
      <w:r>
        <w:rPr>
          <w:rFonts w:cs="Calibri" w:cstheme="minorHAnsi"/>
          <w:b/>
          <w:bCs/>
        </w:rPr>
        <w:t>Procesy starzenia się społeczeństwa</w:t>
      </w:r>
    </w:p>
    <w:p>
      <w:pPr>
        <w:pStyle w:val="Normal"/>
        <w:spacing w:lineRule="auto" w:line="240" w:before="0" w:after="0"/>
        <w:jc w:val="both"/>
        <w:rPr>
          <w:rFonts w:cs="Calibri" w:cstheme="minorHAnsi"/>
        </w:rPr>
      </w:pPr>
      <w:r>
        <w:rPr>
          <w:rFonts w:cs="Calibri" w:cstheme="minorHAnsi"/>
        </w:rPr>
        <w:t xml:space="preserve">Starzenie się społeczeństwa to proces biologiczny związany z konkretnymi zmianami demograficznymi i oznacza, że w danej populacji jest więcej osób starszych niż młodszych. Starzenie się społeczeństwa polskiego, jak i europejskiego zaobserwowano już dość dawno (i mimo różnych inicjatyw) tego procesu nie udało się na razie zatrzymać. Zjawisko to jest poważnym zagrożeniem dla stabilności gmin wiejskich i miejsko-wiejskich. </w:t>
      </w:r>
    </w:p>
    <w:p>
      <w:pPr>
        <w:pStyle w:val="Normal"/>
        <w:spacing w:lineRule="auto" w:line="240" w:before="0" w:after="0"/>
        <w:jc w:val="both"/>
        <w:rPr>
          <w:rFonts w:cs="Calibri" w:cs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62" w:name="_Toc118887771"/>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22</w:t>
      </w:r>
      <w:r>
        <w:rPr>
          <w:b w:val="false"/>
          <w:bCs w:val="false"/>
          <w:rFonts w:cs="Calibri"/>
        </w:rPr>
        <w:fldChar w:fldCharType="end"/>
      </w:r>
      <w:r>
        <w:rPr>
          <w:rFonts w:cs="Calibri" w:cstheme="minorHAnsi"/>
          <w:b w:val="false"/>
          <w:bCs w:val="false"/>
        </w:rPr>
        <w:t xml:space="preserve"> Struktura wiekowa mieszkańców Gminy Dwikozy w podziale na płeć w 2021r.</w:t>
      </w:r>
      <w:bookmarkEnd w:id="162"/>
    </w:p>
    <w:tbl>
      <w:tblPr>
        <w:tblW w:w="448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362"/>
        <w:gridCol w:w="1120"/>
        <w:gridCol w:w="1001"/>
      </w:tblGrid>
      <w:tr>
        <w:trPr>
          <w:trHeight w:val="300" w:hRule="atLeast"/>
        </w:trPr>
        <w:tc>
          <w:tcPr>
            <w:tcW w:w="236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lang w:eastAsia="pl-PL"/>
              </w:rPr>
            </w:pPr>
            <w:bookmarkStart w:id="163" w:name="_Hlk118561515"/>
            <w:r>
              <w:rPr>
                <w:rFonts w:eastAsia="Times New Roman" w:cs="Calibri" w:cstheme="minorHAnsi"/>
                <w:lang w:eastAsia="pl-PL"/>
              </w:rPr>
              <w:t> </w:t>
            </w:r>
            <w:r>
              <w:rPr>
                <w:rFonts w:eastAsia="Times New Roman" w:cs="Calibri" w:cstheme="minorHAnsi"/>
                <w:lang w:eastAsia="pl-PL"/>
              </w:rPr>
              <w:t>Wiek</w:t>
            </w:r>
          </w:p>
        </w:tc>
        <w:tc>
          <w:tcPr>
            <w:tcW w:w="1120"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w:t>
            </w:r>
          </w:p>
        </w:tc>
        <w:tc>
          <w:tcPr>
            <w:tcW w:w="1001"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161</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181</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194</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181</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10-14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211</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183</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15-19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212</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182</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20-24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229</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181</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25-29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319</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257</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30-34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338</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326</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35-39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352</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331</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40-44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350</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303</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45-49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302</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304</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50-54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289</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277</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55-59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282</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275</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60-64</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295</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313</w:t>
            </w:r>
          </w:p>
        </w:tc>
      </w:tr>
      <w:tr>
        <w:trPr>
          <w:trHeight w:val="300" w:hRule="atLeast"/>
        </w:trPr>
        <w:tc>
          <w:tcPr>
            <w:tcW w:w="236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65-69</w:t>
            </w:r>
          </w:p>
        </w:tc>
        <w:tc>
          <w:tcPr>
            <w:tcW w:w="112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304</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328</w:t>
            </w:r>
          </w:p>
        </w:tc>
      </w:tr>
      <w:tr>
        <w:trPr>
          <w:trHeight w:val="300" w:hRule="atLeast"/>
        </w:trPr>
        <w:tc>
          <w:tcPr>
            <w:tcW w:w="236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70 i więcej</w:t>
            </w:r>
          </w:p>
        </w:tc>
        <w:tc>
          <w:tcPr>
            <w:tcW w:w="112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406</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bookmarkStart w:id="164" w:name="_Hlk118561515"/>
            <w:r>
              <w:rPr>
                <w:rFonts w:eastAsia="Times New Roman" w:cs="Calibri" w:cstheme="minorHAnsi"/>
                <w:lang w:eastAsia="pl-PL"/>
              </w:rPr>
              <w:t>711</w:t>
            </w:r>
            <w:bookmarkEnd w:id="164"/>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b/>
          <w:b/>
          <w:bCs/>
        </w:rPr>
      </w:pPr>
      <w:r>
        <w:rPr>
          <w:rFonts w:cs="Calibri" w:cstheme="minorHAnsi"/>
          <w:b/>
          <w:bCs/>
        </w:rPr>
        <w:t>Przyczyny starzenia się społeczeństwa to m.in.:</w:t>
      </w:r>
    </w:p>
    <w:p>
      <w:pPr>
        <w:pStyle w:val="Normal"/>
        <w:tabs>
          <w:tab w:val="clear" w:pos="720"/>
          <w:tab w:val="left" w:pos="284" w:leader="none"/>
        </w:tabs>
        <w:spacing w:lineRule="auto" w:line="240" w:before="0" w:after="0"/>
        <w:jc w:val="both"/>
        <w:rPr>
          <w:rFonts w:cs="Calibri" w:cstheme="minorHAnsi"/>
        </w:rPr>
      </w:pPr>
      <w:r>
        <w:rPr>
          <w:rFonts w:cs="Calibri" w:cstheme="minorHAnsi"/>
        </w:rPr>
        <w:t>•</w:t>
      </w:r>
      <w:r>
        <w:rPr>
          <w:rFonts w:cs="Calibri" w:cstheme="minorHAnsi"/>
        </w:rPr>
        <w:tab/>
        <w:t>wydłużenie się życia osób starszych związane z rozwojem opieki medycznej, zdolnością hamowania wielu chorób, wcześniejszego ich diagnozowania i leczenia,</w:t>
      </w:r>
    </w:p>
    <w:p>
      <w:pPr>
        <w:pStyle w:val="Normal"/>
        <w:tabs>
          <w:tab w:val="clear" w:pos="720"/>
          <w:tab w:val="left" w:pos="284" w:leader="none"/>
        </w:tabs>
        <w:spacing w:lineRule="auto" w:line="240" w:before="0" w:after="0"/>
        <w:jc w:val="both"/>
        <w:rPr>
          <w:rFonts w:cs="Calibri" w:cstheme="minorHAnsi"/>
        </w:rPr>
      </w:pPr>
      <w:r>
        <w:rPr>
          <w:rFonts w:cs="Calibri" w:cstheme="minorHAnsi"/>
        </w:rPr>
        <w:t>•</w:t>
      </w:r>
      <w:r>
        <w:rPr>
          <w:rFonts w:cs="Calibri" w:cstheme="minorHAnsi"/>
        </w:rPr>
        <w:tab/>
        <w:t>spadek przyrostu naturalnego związany z różnymi czynnikami: coraz późniejszym urodzeniem pierwszego dziecka, innym modelem rodziny (najczęściej 2+1, a nie jak jeszcze kilkanaście lat temu 2+2 czy 2+3).</w:t>
      </w:r>
    </w:p>
    <w:p>
      <w:pPr>
        <w:pStyle w:val="Normal"/>
        <w:spacing w:lineRule="auto" w:line="240" w:before="0" w:after="0"/>
        <w:jc w:val="both"/>
        <w:rPr>
          <w:rFonts w:cs="Calibri" w:cstheme="minorHAnsi"/>
        </w:rPr>
      </w:pPr>
      <w:r>
        <w:rPr>
          <w:rFonts w:cs="Calibri" w:cstheme="minorHAnsi"/>
        </w:rPr>
      </w:r>
    </w:p>
    <w:p>
      <w:pPr>
        <w:pStyle w:val="NoSpacing"/>
        <w:jc w:val="both"/>
        <w:rPr>
          <w:rFonts w:ascii="Calibri" w:hAnsi="Calibri" w:eastAsia="Times New Roman" w:cs="Calibri" w:asciiTheme="minorHAnsi" w:cstheme="minorHAnsi" w:hAnsiTheme="minorHAnsi"/>
          <w:lang w:eastAsia="pl-PL"/>
        </w:rPr>
      </w:pPr>
      <w:r>
        <w:rPr>
          <w:rFonts w:eastAsia="Times New Roman" w:cs="Calibri" w:cstheme="minorHAnsi"/>
          <w:lang w:eastAsia="pl-PL"/>
        </w:rPr>
        <w:t xml:space="preserve">Na etapie Diagnozy zidentyfikowano następujące obszary pomocy dla seniorów, które należy rozwijać: </w:t>
      </w:r>
    </w:p>
    <w:p>
      <w:pPr>
        <w:pStyle w:val="NoSpacing"/>
        <w:numPr>
          <w:ilvl w:val="0"/>
          <w:numId w:val="13"/>
        </w:numPr>
        <w:rPr>
          <w:rFonts w:ascii="Calibri" w:hAnsi="Calibri" w:cs="Calibri" w:asciiTheme="minorHAnsi" w:cstheme="minorHAnsi" w:hAnsiTheme="minorHAnsi"/>
          <w:b/>
          <w:b/>
          <w:bCs/>
        </w:rPr>
      </w:pPr>
      <w:r>
        <w:rPr>
          <w:rFonts w:cs="Calibri" w:cstheme="minorHAnsi"/>
          <w:lang w:eastAsia="pl-PL"/>
        </w:rPr>
        <w:t xml:space="preserve">usługi opiekuńcze w terenie świadczone osobom starszym, </w:t>
      </w:r>
    </w:p>
    <w:p>
      <w:pPr>
        <w:pStyle w:val="NoSpacing"/>
        <w:numPr>
          <w:ilvl w:val="0"/>
          <w:numId w:val="13"/>
        </w:numPr>
        <w:rPr>
          <w:rFonts w:ascii="Calibri" w:hAnsi="Calibri" w:cs="Calibri" w:asciiTheme="minorHAnsi" w:cstheme="minorHAnsi" w:hAnsiTheme="minorHAnsi"/>
          <w:b/>
          <w:b/>
          <w:bCs/>
        </w:rPr>
      </w:pPr>
      <w:r>
        <w:rPr>
          <w:rFonts w:cs="Calibri" w:cstheme="minorHAnsi"/>
          <w:lang w:eastAsia="pl-PL"/>
        </w:rPr>
        <w:t xml:space="preserve">organizacja Klubu/ów Seniora, Senior+, Dziennych Domów Senior+,  </w:t>
      </w:r>
    </w:p>
    <w:p>
      <w:pPr>
        <w:pStyle w:val="NoSpacing"/>
        <w:numPr>
          <w:ilvl w:val="0"/>
          <w:numId w:val="13"/>
        </w:numPr>
        <w:rPr>
          <w:rFonts w:ascii="Calibri" w:hAnsi="Calibri" w:cs="Calibri" w:asciiTheme="minorHAnsi" w:cstheme="minorHAnsi" w:hAnsiTheme="minorHAnsi"/>
          <w:b/>
          <w:b/>
          <w:bCs/>
        </w:rPr>
      </w:pPr>
      <w:r>
        <w:rPr>
          <w:rFonts w:cs="Calibri" w:cstheme="minorHAnsi"/>
          <w:lang w:eastAsia="pl-PL"/>
        </w:rPr>
        <w:t xml:space="preserve">posiłki z dowozem do domu, </w:t>
      </w:r>
    </w:p>
    <w:p>
      <w:pPr>
        <w:pStyle w:val="NoSpacing"/>
        <w:numPr>
          <w:ilvl w:val="0"/>
          <w:numId w:val="13"/>
        </w:numPr>
        <w:rPr>
          <w:rFonts w:ascii="Calibri" w:hAnsi="Calibri" w:cs="Calibri" w:asciiTheme="minorHAnsi" w:cstheme="minorHAnsi" w:hAnsiTheme="minorHAnsi"/>
          <w:b/>
          <w:b/>
          <w:bCs/>
        </w:rPr>
      </w:pPr>
      <w:r>
        <w:rPr>
          <w:rFonts w:cs="Calibri" w:cstheme="minorHAnsi"/>
          <w:lang w:eastAsia="pl-PL"/>
        </w:rPr>
        <w:t>pomoc sąsiedzka,</w:t>
      </w:r>
    </w:p>
    <w:p>
      <w:pPr>
        <w:pStyle w:val="NoSpacing"/>
        <w:numPr>
          <w:ilvl w:val="0"/>
          <w:numId w:val="13"/>
        </w:numPr>
        <w:rPr>
          <w:rFonts w:ascii="Calibri" w:hAnsi="Calibri" w:cs="Calibri" w:asciiTheme="minorHAnsi" w:cstheme="minorHAnsi" w:hAnsiTheme="minorHAnsi"/>
          <w:b/>
          <w:b/>
          <w:bCs/>
        </w:rPr>
      </w:pPr>
      <w:r>
        <w:rPr>
          <w:rFonts w:cs="Calibri" w:cstheme="minorHAnsi"/>
        </w:rPr>
        <w:t>lepszy dostęp do rehabilitacji i terapii,</w:t>
      </w:r>
    </w:p>
    <w:p>
      <w:pPr>
        <w:pStyle w:val="NoSpacing"/>
        <w:numPr>
          <w:ilvl w:val="0"/>
          <w:numId w:val="13"/>
        </w:numPr>
        <w:jc w:val="both"/>
        <w:rPr>
          <w:rFonts w:ascii="Calibri" w:hAnsi="Calibri" w:cs="Calibri" w:asciiTheme="minorHAnsi" w:cstheme="minorHAnsi" w:hAnsiTheme="minorHAnsi"/>
          <w:b/>
          <w:b/>
          <w:bCs/>
        </w:rPr>
      </w:pPr>
      <w:r>
        <w:rPr>
          <w:rFonts w:cs="Calibri" w:cstheme="minorHAnsi"/>
        </w:rPr>
        <w:t xml:space="preserve">rozwijanie usług opiekuńczych i zdrowotnych prowadzonych w przyjaznych warunkach, </w:t>
        <w:br/>
        <w:t>w domach lub niewielkich placówkach,</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W 2020 roku zarejestrowano 58 zameldowań w ruchu wewnętrznym oraz 80 wymeldowań, </w:t>
        <w:br/>
        <w:t>w wyniku czego saldo migracji wewnętrznych wynosi dla gminy Dwikozy -22. W tym samym roku</w:t>
        <w:br/>
        <w:t>2 osoby zameldowało się z zagranicy oraz nie zarejestrowano wymeldowań za granicę, co daje to saldo migracji zagranicznych wynoszące 2.</w:t>
      </w:r>
    </w:p>
    <w:p>
      <w:pPr>
        <w:pStyle w:val="Normal"/>
        <w:spacing w:lineRule="auto" w:line="240" w:before="0" w:after="0"/>
        <w:rPr>
          <w:rFonts w:cs="Calibri" w:cstheme="minorHAnsi"/>
          <w:highlight w:val="yellow"/>
        </w:rPr>
      </w:pPr>
      <w:r>
        <w:rPr>
          <w:rFonts w:cs="Calibri" w:cstheme="minorHAnsi"/>
          <w:highlight w:val="yellow"/>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lang w:eastAsia="pl-PL"/>
        </w:rPr>
      </w:pPr>
      <w:bookmarkStart w:id="165" w:name="_Toc100774725"/>
      <w:bookmarkStart w:id="166" w:name="_Toc118887430"/>
      <w:r>
        <w:rPr>
          <w:rFonts w:cs="Calibri" w:cstheme="minorHAnsi"/>
          <w:b w:val="false"/>
          <w:bCs w:val="false"/>
        </w:rPr>
        <w:t xml:space="preserve">Wykres </w:t>
      </w:r>
      <w:r>
        <w:rPr>
          <w:rFonts w:cs="Calibri" w:cstheme="minorHAnsi"/>
          <w:b w:val="false"/>
          <w:bCs w:val="false"/>
          <w:i/>
          <w:iCs/>
        </w:rPr>
        <w:fldChar w:fldCharType="begin"/>
      </w:r>
      <w:r>
        <w:rPr>
          <w:i/>
          <w:b w:val="false"/>
          <w:iCs/>
          <w:bCs w:val="false"/>
          <w:rFonts w:cs="Calibri"/>
        </w:rPr>
        <w:instrText xml:space="preserve"> SEQ Wykres \* ARABIC </w:instrText>
      </w:r>
      <w:r>
        <w:rPr>
          <w:i/>
          <w:b w:val="false"/>
          <w:iCs/>
          <w:bCs w:val="false"/>
          <w:rFonts w:cs="Calibri"/>
        </w:rPr>
        <w:fldChar w:fldCharType="separate"/>
      </w:r>
      <w:r>
        <w:rPr>
          <w:i/>
          <w:b w:val="false"/>
          <w:iCs/>
          <w:bCs w:val="false"/>
          <w:rFonts w:cs="Calibri"/>
        </w:rPr>
        <w:t>3</w:t>
      </w:r>
      <w:r>
        <w:rPr>
          <w:i/>
          <w:b w:val="false"/>
          <w:iCs/>
          <w:bCs w:val="false"/>
          <w:rFonts w:cs="Calibri"/>
        </w:rPr>
        <w:fldChar w:fldCharType="end"/>
      </w:r>
      <w:r>
        <w:rPr>
          <w:rFonts w:cs="Calibri" w:cstheme="minorHAnsi"/>
          <w:b w:val="false"/>
          <w:bCs w:val="false"/>
        </w:rPr>
        <w:t xml:space="preserve"> </w:t>
      </w:r>
      <w:r>
        <w:rPr>
          <w:rFonts w:eastAsia="Times New Roman" w:cs="Calibri" w:cstheme="minorHAnsi"/>
          <w:b w:val="false"/>
          <w:bCs w:val="false"/>
          <w:lang w:eastAsia="pl-PL"/>
        </w:rPr>
        <w:t>Migracja na pobyt stały  w Gminie Dwikozy w latach 2015-2020</w:t>
      </w:r>
      <w:bookmarkEnd w:id="165"/>
      <w:bookmarkEnd w:id="166"/>
    </w:p>
    <w:p>
      <w:pPr>
        <w:pStyle w:val="Caption"/>
        <w:spacing w:lineRule="auto" w:line="240" w:before="0" w:after="0"/>
        <w:jc w:val="center"/>
        <w:rPr>
          <w:rFonts w:ascii="Calibri" w:hAnsi="Calibri" w:cs="Calibri" w:asciiTheme="minorHAnsi" w:cstheme="minorHAnsi" w:hAnsiTheme="minorHAnsi"/>
        </w:rPr>
      </w:pPr>
      <w:r>
        <w:rPr/>
        <w:drawing>
          <wp:inline distT="0" distB="0" distL="0" distR="0">
            <wp:extent cx="5731510" cy="2094865"/>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lang w:eastAsia="pl-PL"/>
        </w:rPr>
      </w:pPr>
      <w:r>
        <w:rPr>
          <w:rFonts w:eastAsia="Times New Roman" w:cs="Calibri" w:cstheme="minorHAnsi"/>
          <w:b w:val="false"/>
          <w:bCs w:val="false"/>
          <w:lang w:eastAsia="pl-PL"/>
        </w:rPr>
        <w:t>Źródło: opracowanie własne na podstawie danych GUS</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rPr>
      </w:pPr>
      <w:bookmarkStart w:id="167" w:name="_Toc69212063"/>
      <w:r>
        <w:rPr>
          <w:rFonts w:cs="Calibri" w:cstheme="minorHAnsi"/>
        </w:rPr>
        <w:t>W 2020 roku 50,3% zgonów w gminie Dwikozy spowodowanych było chorobami układu krążenia, przyczyną 27,0% nowotwory, a 2,8% zgonów spowodowanych było chorobami układu oddechowego. Na 1000 ludności gminy Dwikozy przypada 14.64 zgonów i jest to nieznacznie więcej od wartości średniej dla województwa świętokrzyskiego oraz znacznie więcej od wartości średniej dla kraju.</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 xml:space="preserve">Poniższa tabela (na podstawie danych UG w Dwikozach) prezentuje liczbę mieszkańców poszczególnych sołectw na przestrzeni lat 2000-2021. Jedynie 3 sołectwa w tym okresie odnotowały dodatnią liczbę mieszkańców: Gierlachów, Kamień Łukawski, Nowe Kichary. </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center"/>
        <w:rPr>
          <w:rFonts w:ascii="Calibri" w:hAnsi="Calibri" w:cs="Calibri" w:asciiTheme="minorHAnsi" w:cstheme="minorHAnsi" w:hAnsiTheme="minorHAnsi"/>
          <w:sz w:val="20"/>
          <w:szCs w:val="20"/>
          <w:highlight w:val="yellow"/>
        </w:rPr>
      </w:pPr>
      <w:bookmarkStart w:id="168" w:name="_Toc118887772"/>
      <w:r>
        <w:rPr>
          <w:sz w:val="20"/>
          <w:szCs w:val="20"/>
        </w:rPr>
        <w:t xml:space="preserve">Tabela </w:t>
      </w:r>
      <w:r>
        <w:rPr>
          <w:sz w:val="20"/>
          <w:szCs w:val="20"/>
        </w:rPr>
        <w:fldChar w:fldCharType="begin"/>
      </w:r>
      <w:r>
        <w:rPr>
          <w:sz w:val="20"/>
          <w:szCs w:val="20"/>
        </w:rPr>
        <w:instrText xml:space="preserve"> SEQ Tabela \* ARABIC </w:instrText>
      </w:r>
      <w:r>
        <w:rPr>
          <w:sz w:val="20"/>
          <w:szCs w:val="20"/>
        </w:rPr>
        <w:fldChar w:fldCharType="separate"/>
      </w:r>
      <w:r>
        <w:rPr>
          <w:sz w:val="20"/>
          <w:szCs w:val="20"/>
        </w:rPr>
        <w:t>23</w:t>
      </w:r>
      <w:r>
        <w:rPr>
          <w:sz w:val="20"/>
          <w:szCs w:val="20"/>
        </w:rPr>
        <w:fldChar w:fldCharType="end"/>
      </w:r>
      <w:r>
        <w:rPr>
          <w:sz w:val="20"/>
          <w:szCs w:val="20"/>
        </w:rPr>
        <w:t xml:space="preserve"> Liczba mieszkańców poszczególnych sołectw na koniec 2020, 2010, 2020 i 2021r.</w:t>
      </w:r>
      <w:bookmarkEnd w:id="168"/>
    </w:p>
    <w:tbl>
      <w:tblPr>
        <w:tblW w:w="9940"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498"/>
        <w:gridCol w:w="2015"/>
        <w:gridCol w:w="1618"/>
        <w:gridCol w:w="1438"/>
        <w:gridCol w:w="1616"/>
        <w:gridCol w:w="1279"/>
        <w:gridCol w:w="1475"/>
      </w:tblGrid>
      <w:tr>
        <w:trPr>
          <w:trHeight w:val="615" w:hRule="atLeast"/>
        </w:trPr>
        <w:tc>
          <w:tcPr>
            <w:tcW w:w="498" w:type="dxa"/>
            <w:tcBorders>
              <w:top w:val="single" w:sz="4" w:space="0" w:color="000000"/>
              <w:left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sz w:val="24"/>
                <w:szCs w:val="24"/>
                <w:lang w:eastAsia="pl-PL"/>
              </w:rPr>
            </w:pPr>
            <w:r>
              <w:rPr>
                <w:rFonts w:eastAsia="Times New Roman" w:cs="Calibri"/>
                <w:b/>
                <w:bCs/>
                <w:color w:val="000000"/>
                <w:sz w:val="24"/>
                <w:szCs w:val="24"/>
                <w:lang w:eastAsia="pl-PL"/>
              </w:rPr>
              <w:t>L.p.</w:t>
            </w:r>
          </w:p>
        </w:tc>
        <w:tc>
          <w:tcPr>
            <w:tcW w:w="2015"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Sołectwo</w:t>
            </w:r>
          </w:p>
        </w:tc>
        <w:tc>
          <w:tcPr>
            <w:tcW w:w="1618"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31.12.2000 r.</w:t>
            </w:r>
          </w:p>
        </w:tc>
        <w:tc>
          <w:tcPr>
            <w:tcW w:w="1438"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31.12.2010 r.</w:t>
            </w:r>
          </w:p>
        </w:tc>
        <w:tc>
          <w:tcPr>
            <w:tcW w:w="1616"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31.12.2020 r.</w:t>
            </w:r>
          </w:p>
        </w:tc>
        <w:tc>
          <w:tcPr>
            <w:tcW w:w="1279"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31.12.2021 r.</w:t>
            </w:r>
          </w:p>
        </w:tc>
        <w:tc>
          <w:tcPr>
            <w:tcW w:w="1475"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Różnica 2021-2020</w:t>
            </w:r>
          </w:p>
        </w:tc>
      </w:tr>
      <w:tr>
        <w:trPr>
          <w:trHeight w:val="330"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Dwikozy</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2073</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1984</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1796</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1776</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-297</w:t>
            </w:r>
          </w:p>
        </w:tc>
      </w:tr>
      <w:tr>
        <w:trPr>
          <w:trHeight w:val="330"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Bożydar</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352</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334</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302</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301</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-51</w:t>
            </w:r>
          </w:p>
        </w:tc>
      </w:tr>
      <w:tr>
        <w:trPr>
          <w:trHeight w:val="330"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Buczek</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75</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64</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60</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58</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w:t>
            </w:r>
          </w:p>
        </w:tc>
      </w:tr>
      <w:tr>
        <w:trPr>
          <w:trHeight w:val="6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Czermin</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167</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139</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156</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159</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w:t>
            </w:r>
          </w:p>
        </w:tc>
      </w:tr>
      <w:tr>
        <w:trPr>
          <w:trHeight w:val="900"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Gałkowice</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282</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295</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264</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255</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-27</w:t>
            </w:r>
          </w:p>
        </w:tc>
      </w:tr>
      <w:tr>
        <w:trPr>
          <w:trHeight w:val="330"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6.</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Gierlachów</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738</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760</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751</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741</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w:t>
            </w:r>
          </w:p>
        </w:tc>
      </w:tr>
      <w:tr>
        <w:trPr>
          <w:trHeight w:val="6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Góry Wysokie</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555</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564</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513</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512</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-43</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Kamień Łukawski</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121</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134</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141</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145</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24</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9.</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Kępa Chwałowska</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99</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89</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84</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82</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w:t>
            </w:r>
          </w:p>
        </w:tc>
      </w:tr>
      <w:tr>
        <w:trPr>
          <w:trHeight w:val="330"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10.</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Kolonia Gałkowice</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86</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68</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64</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67</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-19</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11.</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Mściów</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907</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860</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801</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799</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-108</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12.</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Nowe Kichary</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252</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256</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256</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257</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Nowy Garbów</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200</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179</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179</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175</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14.</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Nowy Kamień</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538</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518</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492</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488</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-50</w:t>
            </w:r>
          </w:p>
        </w:tc>
      </w:tr>
      <w:tr>
        <w:trPr>
          <w:trHeight w:val="547"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15.</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Romanówka oraz Jaroszówka</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262</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251</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247</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240</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-22</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16.</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Rzeczyca Mokra</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367</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374</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357</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345</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-22</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17.</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Rzeczyca Sucha</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148</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136</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140</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139</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-9</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18.</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Słupcza</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867</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816</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730</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711</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-156</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19.</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Stare Kichary</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148</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132</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130</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121</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-27</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20.</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Stary Garbów</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264</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224</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215</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214</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-50</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21.</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Szczytniki</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426</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406</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393</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394</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-32</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22.</w:t>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Winiarki</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290</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256</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248</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244</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-46</w:t>
            </w:r>
          </w:p>
        </w:tc>
      </w:tr>
      <w:tr>
        <w:trPr>
          <w:trHeight w:val="315" w:hRule="atLeast"/>
        </w:trPr>
        <w:tc>
          <w:tcPr>
            <w:tcW w:w="4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23.</w:t>
            </w:r>
          </w:p>
        </w:tc>
        <w:tc>
          <w:tcPr>
            <w:tcW w:w="201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Winiary</w:t>
            </w:r>
          </w:p>
        </w:tc>
        <w:tc>
          <w:tcPr>
            <w:tcW w:w="161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403</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375</w:t>
            </w:r>
          </w:p>
        </w:tc>
        <w:tc>
          <w:tcPr>
            <w:tcW w:w="16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331</w:t>
            </w:r>
          </w:p>
        </w:tc>
        <w:tc>
          <w:tcPr>
            <w:tcW w:w="12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322</w:t>
            </w:r>
          </w:p>
        </w:tc>
        <w:tc>
          <w:tcPr>
            <w:tcW w:w="14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-81</w:t>
            </w:r>
          </w:p>
        </w:tc>
      </w:tr>
      <w:tr>
        <w:trPr>
          <w:trHeight w:val="315" w:hRule="atLeast"/>
        </w:trPr>
        <w:tc>
          <w:tcPr>
            <w:tcW w:w="498" w:type="dxa"/>
            <w:tcBorders>
              <w:left w:val="single" w:sz="4" w:space="0" w:color="000000"/>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
          </w:p>
        </w:tc>
        <w:tc>
          <w:tcPr>
            <w:tcW w:w="201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Razem</w:t>
            </w:r>
          </w:p>
        </w:tc>
        <w:tc>
          <w:tcPr>
            <w:tcW w:w="161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9620</w:t>
            </w:r>
          </w:p>
        </w:tc>
        <w:tc>
          <w:tcPr>
            <w:tcW w:w="1438"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9214</w:t>
            </w:r>
          </w:p>
        </w:tc>
        <w:tc>
          <w:tcPr>
            <w:tcW w:w="1616"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8650</w:t>
            </w:r>
          </w:p>
        </w:tc>
        <w:tc>
          <w:tcPr>
            <w:tcW w:w="1279"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8545</w:t>
            </w:r>
          </w:p>
        </w:tc>
        <w:tc>
          <w:tcPr>
            <w:tcW w:w="1475" w:type="dxa"/>
            <w:tcBorders>
              <w:bottom w:val="single" w:sz="4" w:space="0" w:color="000000"/>
              <w:right w:val="single" w:sz="4" w:space="0" w:color="000000"/>
            </w:tcBorders>
            <w:shd w:color="000000" w:fill="E2EFDA"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l-PL"/>
              </w:rPr>
            </w:pPr>
            <w:r>
              <w:rPr>
                <w:rFonts w:eastAsia="Times New Roman" w:cs="Calibri"/>
                <w:color w:val="000000"/>
                <w:sz w:val="24"/>
                <w:szCs w:val="24"/>
                <w:lang w:eastAsia="pl-PL"/>
              </w:rPr>
              <w:t>-1075</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 xml:space="preserve">Źródło: Urząd Gminy w Dwikozach </w:t>
      </w:r>
    </w:p>
    <w:p>
      <w:pPr>
        <w:pStyle w:val="NoSpacing"/>
        <w:jc w:val="both"/>
        <w:rPr>
          <w:rFonts w:ascii="Calibri" w:hAnsi="Calibri" w:cs="Calibri" w:asciiTheme="minorHAnsi" w:cstheme="minorHAnsi" w:hAnsiTheme="minorHAnsi"/>
          <w:b/>
          <w:b/>
          <w:bCs/>
        </w:rPr>
      </w:pPr>
      <w:r>
        <w:rPr>
          <w:rFonts w:cs="Calibri" w:cstheme="minorHAnsi"/>
          <w:b/>
          <w:bCs/>
        </w:rPr>
      </w:r>
    </w:p>
    <w:p>
      <w:pPr>
        <w:pStyle w:val="NoSpacing"/>
        <w:jc w:val="both"/>
        <w:rPr>
          <w:rFonts w:ascii="Calibri" w:hAnsi="Calibri" w:cs="Calibri" w:asciiTheme="minorHAnsi" w:cstheme="minorHAnsi" w:hAnsiTheme="minorHAnsi"/>
          <w:b/>
          <w:b/>
          <w:bCs/>
        </w:rPr>
      </w:pPr>
      <w:bookmarkStart w:id="169" w:name="_Toc69212063"/>
      <w:r>
        <w:rPr>
          <w:rFonts w:cs="Calibri" w:cstheme="minorHAnsi"/>
          <w:b/>
          <w:bCs/>
        </w:rPr>
        <w:t>Prognoza demograficzna</w:t>
      </w:r>
      <w:bookmarkEnd w:id="169"/>
      <w:r>
        <w:rPr>
          <w:rFonts w:cs="Calibri" w:cstheme="minorHAnsi"/>
          <w:b/>
          <w:bCs/>
        </w:rPr>
        <w:t xml:space="preserve"> 2030</w:t>
      </w:r>
    </w:p>
    <w:p>
      <w:pPr>
        <w:pStyle w:val="NoSpacing"/>
        <w:jc w:val="both"/>
        <w:rPr>
          <w:rFonts w:ascii="Calibri" w:hAnsi="Calibri" w:eastAsia="Times New Roman" w:cs="Calibri" w:asciiTheme="minorHAnsi" w:cstheme="minorHAnsi" w:hAnsiTheme="minorHAnsi"/>
          <w:lang w:eastAsia="pl-PL"/>
        </w:rPr>
      </w:pPr>
      <w:r>
        <w:rPr>
          <w:rFonts w:eastAsia="Times New Roman" w:cs="Calibri" w:cstheme="minorHAnsi"/>
          <w:lang w:eastAsia="pl-PL"/>
        </w:rPr>
        <w:t xml:space="preserve">Według „Prognozy ludności na lata 2014-2050” opracowanej przez GUS ogólna liczba mieszkańców województwa świętokrzyskiego, a co za tym idzie również powiatu </w:t>
      </w:r>
      <w:bookmarkStart w:id="170" w:name="_Hlk80189337"/>
      <w:r>
        <w:rPr>
          <w:rFonts w:eastAsia="Times New Roman" w:cs="Calibri" w:cstheme="minorHAnsi"/>
          <w:lang w:eastAsia="pl-PL"/>
        </w:rPr>
        <w:t xml:space="preserve">sandomierskiego będzie sukcesywnie spadać </w:t>
      </w:r>
      <w:bookmarkEnd w:id="170"/>
      <w:r>
        <w:rPr>
          <w:rFonts w:eastAsia="Times New Roman" w:cs="Calibri" w:cstheme="minorHAnsi"/>
          <w:lang w:eastAsia="pl-PL"/>
        </w:rPr>
        <w:t xml:space="preserve">do roku 2050. </w:t>
      </w:r>
    </w:p>
    <w:p>
      <w:pPr>
        <w:pStyle w:val="NoSpacing"/>
        <w:jc w:val="both"/>
        <w:rPr>
          <w:rFonts w:ascii="Calibri" w:hAnsi="Calibri" w:eastAsia="Times New Roman" w:cs="Calibri" w:asciiTheme="minorHAnsi" w:cstheme="minorHAnsi" w:hAnsiTheme="minorHAnsi"/>
          <w:color w:val="FF0000"/>
          <w:lang w:eastAsia="pl-PL"/>
        </w:rPr>
      </w:pPr>
      <w:r>
        <w:rPr>
          <w:rFonts w:eastAsia="Times New Roman" w:cs="Calibri" w:cstheme="minorHAnsi"/>
          <w:color w:val="FF0000"/>
          <w:lang w:eastAsia="pl-PL"/>
        </w:rPr>
      </w:r>
    </w:p>
    <w:p>
      <w:pPr>
        <w:pStyle w:val="NoSpacing"/>
        <w:jc w:val="center"/>
        <w:rPr>
          <w:rFonts w:ascii="Calibri" w:hAnsi="Calibri" w:eastAsia="Times New Roman" w:cs="Calibri" w:asciiTheme="minorHAnsi" w:cstheme="minorHAnsi" w:hAnsiTheme="minorHAnsi"/>
          <w:sz w:val="20"/>
          <w:szCs w:val="20"/>
          <w:lang w:eastAsia="pl-PL"/>
        </w:rPr>
      </w:pPr>
      <w:bookmarkStart w:id="171" w:name="_Toc118887773"/>
      <w:bookmarkStart w:id="172" w:name="_Toc6391771"/>
      <w:r>
        <w:rPr>
          <w:rFonts w:eastAsia="Times New Roman" w:cs="Calibri" w:cstheme="minorHAnsi"/>
          <w:sz w:val="20"/>
          <w:szCs w:val="20"/>
          <w:lang w:eastAsia="pl-PL"/>
        </w:rPr>
        <w:t xml:space="preserve">Tabela </w:t>
      </w:r>
      <w:r>
        <w:rPr>
          <w:rFonts w:eastAsia="Times New Roman" w:cs="Calibri" w:cstheme="minorHAnsi"/>
          <w:sz w:val="20"/>
          <w:szCs w:val="20"/>
          <w:lang w:eastAsia="pl-PL"/>
        </w:rPr>
        <w:fldChar w:fldCharType="begin"/>
      </w:r>
      <w:r>
        <w:rPr>
          <w:sz w:val="20"/>
          <w:szCs w:val="20"/>
          <w:rFonts w:eastAsia="Times New Roman" w:cs="Calibri"/>
          <w:lang w:eastAsia="pl-PL"/>
        </w:rPr>
        <w:instrText xml:space="preserve"> SEQ Tabela \* ARABIC </w:instrText>
      </w:r>
      <w:r>
        <w:rPr>
          <w:sz w:val="20"/>
          <w:szCs w:val="20"/>
          <w:rFonts w:eastAsia="Times New Roman" w:cs="Calibri"/>
          <w:lang w:eastAsia="pl-PL"/>
        </w:rPr>
        <w:fldChar w:fldCharType="separate"/>
      </w:r>
      <w:r>
        <w:rPr>
          <w:sz w:val="20"/>
          <w:szCs w:val="20"/>
          <w:rFonts w:eastAsia="Times New Roman" w:cs="Calibri"/>
          <w:lang w:eastAsia="pl-PL"/>
        </w:rPr>
        <w:t>24</w:t>
      </w:r>
      <w:r>
        <w:rPr>
          <w:sz w:val="20"/>
          <w:szCs w:val="20"/>
          <w:rFonts w:eastAsia="Times New Roman" w:cs="Calibri"/>
          <w:lang w:eastAsia="pl-PL"/>
        </w:rPr>
        <w:fldChar w:fldCharType="end"/>
      </w:r>
      <w:r>
        <w:rPr>
          <w:rFonts w:eastAsia="Times New Roman" w:cs="Calibri" w:cstheme="minorHAnsi"/>
          <w:sz w:val="20"/>
          <w:szCs w:val="20"/>
          <w:lang w:eastAsia="pl-PL"/>
        </w:rPr>
        <w:t xml:space="preserve"> Prognoza demograficzna dla powiatu sandomierskiego i województwa świętokrzyskiego do roku 2050r.</w:t>
      </w:r>
      <w:bookmarkEnd w:id="171"/>
      <w:bookmarkEnd w:id="172"/>
    </w:p>
    <w:tbl>
      <w:tblPr>
        <w:tblW w:w="8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680"/>
        <w:gridCol w:w="1324"/>
        <w:gridCol w:w="1108"/>
        <w:gridCol w:w="959"/>
      </w:tblGrid>
      <w:tr>
        <w:trPr>
          <w:trHeight w:val="288" w:hRule="atLeast"/>
        </w:trPr>
        <w:tc>
          <w:tcPr>
            <w:tcW w:w="468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Spacing"/>
              <w:widowControl w:val="false"/>
              <w:jc w:val="center"/>
              <w:rPr>
                <w:rFonts w:ascii="Calibri" w:hAnsi="Calibri" w:eastAsia="Times New Roman" w:cs="Calibri" w:asciiTheme="minorHAnsi" w:cstheme="minorHAnsi" w:hAnsiTheme="minorHAnsi"/>
                <w:b/>
                <w:b/>
                <w:bCs/>
              </w:rPr>
            </w:pPr>
            <w:bookmarkStart w:id="173" w:name="_Hlk118561545"/>
            <w:bookmarkEnd w:id="173"/>
            <w:r>
              <w:rPr>
                <w:rFonts w:eastAsia="Times New Roman" w:cs="Calibri" w:cstheme="minorHAnsi"/>
                <w:b/>
                <w:bCs/>
              </w:rPr>
              <w:t>Wyszczególnienie</w:t>
            </w:r>
          </w:p>
        </w:tc>
        <w:tc>
          <w:tcPr>
            <w:tcW w:w="1324"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2030</w:t>
            </w:r>
          </w:p>
        </w:tc>
        <w:tc>
          <w:tcPr>
            <w:tcW w:w="1108"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2040</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2050</w:t>
            </w:r>
          </w:p>
        </w:tc>
      </w:tr>
      <w:tr>
        <w:trPr>
          <w:trHeight w:val="288" w:hRule="atLeast"/>
        </w:trPr>
        <w:tc>
          <w:tcPr>
            <w:tcW w:w="4680" w:type="dxa"/>
            <w:tcBorders>
              <w:left w:val="single" w:sz="4" w:space="0" w:color="000000"/>
              <w:bottom w:val="single" w:sz="4" w:space="0" w:color="000000"/>
            </w:tcBorders>
            <w:shd w:color="auto" w:fill="E2EFD9" w:themeFill="accent6" w:themeFillTint="33" w:val="clear"/>
            <w:vAlign w:val="bottom"/>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Ogółem powiat sandomierski</w:t>
            </w:r>
          </w:p>
        </w:tc>
        <w:tc>
          <w:tcPr>
            <w:tcW w:w="132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70 579</w:t>
            </w:r>
          </w:p>
        </w:tc>
        <w:tc>
          <w:tcPr>
            <w:tcW w:w="1108" w:type="dxa"/>
            <w:tcBorders>
              <w:bottom w:val="single" w:sz="4" w:space="0" w:color="000000"/>
              <w:right w:val="single" w:sz="4" w:space="0" w:color="000000"/>
            </w:tcBorders>
            <w:shd w:color="auto" w:fill="E2EFD9" w:themeFill="accent6"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63 818</w:t>
            </w:r>
          </w:p>
        </w:tc>
        <w:tc>
          <w:tcPr>
            <w:tcW w:w="959" w:type="dxa"/>
            <w:tcBorders>
              <w:bottom w:val="single" w:sz="4" w:space="0" w:color="000000"/>
              <w:right w:val="single" w:sz="4" w:space="0" w:color="000000"/>
            </w:tcBorders>
            <w:shd w:color="auto" w:fill="E2EFD9" w:themeFill="accent6" w:themeFillTint="33" w:val="clear"/>
            <w:vAlign w:val="center"/>
          </w:tcPr>
          <w:p>
            <w:pPr>
              <w:pStyle w:val="NoSpacing"/>
              <w:widowControl w:val="false"/>
              <w:jc w:val="center"/>
              <w:rPr>
                <w:rFonts w:ascii="Calibri" w:hAnsi="Calibri" w:eastAsia="Times New Roman" w:cs="Calibri" w:asciiTheme="minorHAnsi" w:cstheme="minorHAnsi" w:hAnsiTheme="minorHAnsi"/>
                <w:b/>
                <w:b/>
                <w:bCs/>
                <w:iCs/>
              </w:rPr>
            </w:pPr>
            <w:r>
              <w:rPr>
                <w:rFonts w:eastAsia="Times New Roman" w:cs="Calibri" w:cstheme="minorHAnsi"/>
                <w:b/>
                <w:bCs/>
                <w:iCs/>
                <w:lang w:eastAsia="x-none"/>
              </w:rPr>
              <w:t>56 224</w:t>
            </w:r>
          </w:p>
        </w:tc>
      </w:tr>
      <w:tr>
        <w:trPr>
          <w:trHeight w:val="288" w:hRule="atLeast"/>
        </w:trPr>
        <w:tc>
          <w:tcPr>
            <w:tcW w:w="4680" w:type="dxa"/>
            <w:tcBorders>
              <w:left w:val="single" w:sz="4" w:space="0" w:color="000000"/>
              <w:bottom w:val="single" w:sz="4" w:space="0" w:color="000000"/>
              <w:right w:val="single" w:sz="4" w:space="0" w:color="000000"/>
            </w:tcBorders>
            <w:shd w:color="auto" w:fill="auto" w:val="clear"/>
            <w:vAlign w:val="bottom"/>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Mężczyźni</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cs="Calibri" w:cstheme="minorHAnsi"/>
                <w:color w:val="000000"/>
              </w:rPr>
              <w:t>34 595</w:t>
            </w:r>
          </w:p>
        </w:tc>
        <w:tc>
          <w:tcPr>
            <w:tcW w:w="11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31 363</w:t>
            </w:r>
          </w:p>
        </w:tc>
        <w:tc>
          <w:tcPr>
            <w:tcW w:w="959" w:type="dxa"/>
            <w:tcBorders>
              <w:left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iCs/>
              </w:rPr>
            </w:pPr>
            <w:r>
              <w:rPr>
                <w:rFonts w:eastAsia="Times New Roman" w:cs="Calibri" w:cstheme="minorHAnsi"/>
                <w:iCs/>
                <w:lang w:eastAsia="x-none"/>
              </w:rPr>
              <w:t>27 879</w:t>
            </w:r>
          </w:p>
        </w:tc>
      </w:tr>
      <w:tr>
        <w:trPr>
          <w:trHeight w:val="288" w:hRule="atLeast"/>
        </w:trPr>
        <w:tc>
          <w:tcPr>
            <w:tcW w:w="4680" w:type="dxa"/>
            <w:tcBorders>
              <w:left w:val="single" w:sz="4" w:space="0" w:color="000000"/>
              <w:bottom w:val="single" w:sz="4" w:space="0" w:color="000000"/>
            </w:tcBorders>
            <w:shd w:color="auto" w:fill="auto" w:val="clear"/>
            <w:vAlign w:val="bottom"/>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Kobiety</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cs="Calibri" w:cstheme="minorHAnsi"/>
                <w:color w:val="000000"/>
              </w:rPr>
              <w:t>35 984</w:t>
            </w:r>
          </w:p>
        </w:tc>
        <w:tc>
          <w:tcPr>
            <w:tcW w:w="1108" w:type="dxa"/>
            <w:tcBorders>
              <w:top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32 455</w:t>
            </w:r>
          </w:p>
        </w:tc>
        <w:tc>
          <w:tcPr>
            <w:tcW w:w="959" w:type="dxa"/>
            <w:tcBorders>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iCs/>
              </w:rPr>
            </w:pPr>
            <w:r>
              <w:rPr>
                <w:rFonts w:eastAsia="Times New Roman" w:cs="Calibri" w:cstheme="minorHAnsi"/>
                <w:iCs/>
                <w:lang w:eastAsia="x-none"/>
              </w:rPr>
              <w:t>28 345</w:t>
            </w:r>
          </w:p>
        </w:tc>
      </w:tr>
      <w:tr>
        <w:trPr>
          <w:trHeight w:val="288" w:hRule="atLeast"/>
        </w:trPr>
        <w:tc>
          <w:tcPr>
            <w:tcW w:w="4680" w:type="dxa"/>
            <w:tcBorders>
              <w:left w:val="single" w:sz="4" w:space="0" w:color="000000"/>
              <w:bottom w:val="single" w:sz="4" w:space="0" w:color="000000"/>
            </w:tcBorders>
            <w:shd w:color="auto" w:fill="E2EFD9" w:themeFill="accent6" w:themeFillTint="33" w:val="clear"/>
            <w:vAlign w:val="bottom"/>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Ogółem województwo świętokrzyskie</w:t>
            </w:r>
          </w:p>
        </w:tc>
        <w:tc>
          <w:tcPr>
            <w:tcW w:w="132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1 157 417</w:t>
            </w:r>
          </w:p>
        </w:tc>
        <w:tc>
          <w:tcPr>
            <w:tcW w:w="1108" w:type="dxa"/>
            <w:tcBorders>
              <w:bottom w:val="single" w:sz="4" w:space="0" w:color="000000"/>
              <w:right w:val="single" w:sz="4" w:space="0" w:color="000000"/>
            </w:tcBorders>
            <w:shd w:color="auto" w:fill="E2EFD9" w:themeFill="accent6"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1 071 560</w:t>
            </w:r>
          </w:p>
        </w:tc>
        <w:tc>
          <w:tcPr>
            <w:tcW w:w="959" w:type="dxa"/>
            <w:tcBorders>
              <w:bottom w:val="single" w:sz="4" w:space="0" w:color="000000"/>
              <w:right w:val="single" w:sz="4" w:space="0" w:color="000000"/>
            </w:tcBorders>
            <w:shd w:color="auto" w:fill="E2EFD9" w:themeFill="accent6" w:themeFillTint="33" w:val="clear"/>
            <w:vAlign w:val="center"/>
          </w:tcPr>
          <w:p>
            <w:pPr>
              <w:pStyle w:val="NoSpacing"/>
              <w:widowControl w:val="false"/>
              <w:jc w:val="center"/>
              <w:rPr>
                <w:rFonts w:ascii="Calibri" w:hAnsi="Calibri" w:eastAsia="Times New Roman" w:cs="Calibri" w:asciiTheme="minorHAnsi" w:cstheme="minorHAnsi" w:hAnsiTheme="minorHAnsi"/>
                <w:b/>
                <w:b/>
                <w:bCs/>
              </w:rPr>
            </w:pPr>
            <w:r>
              <w:rPr>
                <w:rFonts w:eastAsia="Times New Roman" w:cs="Calibri" w:cstheme="minorHAnsi"/>
                <w:b/>
                <w:bCs/>
              </w:rPr>
              <w:t>976 938</w:t>
            </w:r>
          </w:p>
        </w:tc>
      </w:tr>
      <w:tr>
        <w:trPr>
          <w:trHeight w:val="288" w:hRule="atLeast"/>
        </w:trPr>
        <w:tc>
          <w:tcPr>
            <w:tcW w:w="4680" w:type="dxa"/>
            <w:tcBorders>
              <w:left w:val="single" w:sz="4" w:space="0" w:color="000000"/>
              <w:bottom w:val="single" w:sz="4" w:space="0" w:color="000000"/>
            </w:tcBorders>
            <w:shd w:color="auto" w:fill="auto" w:val="clear"/>
            <w:vAlign w:val="bottom"/>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Mężczyźni</w:t>
            </w:r>
          </w:p>
        </w:tc>
        <w:tc>
          <w:tcPr>
            <w:tcW w:w="1324" w:type="dxa"/>
            <w:tcBorders>
              <w:left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564 561</w:t>
            </w:r>
          </w:p>
        </w:tc>
        <w:tc>
          <w:tcPr>
            <w:tcW w:w="1108" w:type="dxa"/>
            <w:tcBorders>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522 939</w:t>
            </w:r>
          </w:p>
        </w:tc>
        <w:tc>
          <w:tcPr>
            <w:tcW w:w="959" w:type="dxa"/>
            <w:tcBorders>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479 846</w:t>
            </w:r>
          </w:p>
        </w:tc>
      </w:tr>
      <w:tr>
        <w:trPr>
          <w:trHeight w:val="288" w:hRule="atLeast"/>
        </w:trPr>
        <w:tc>
          <w:tcPr>
            <w:tcW w:w="4680" w:type="dxa"/>
            <w:tcBorders>
              <w:left w:val="single" w:sz="4" w:space="0" w:color="000000"/>
              <w:bottom w:val="single" w:sz="4" w:space="0" w:color="000000"/>
            </w:tcBorders>
            <w:shd w:color="auto" w:fill="auto" w:val="clear"/>
            <w:vAlign w:val="bottom"/>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Kobiety</w:t>
            </w:r>
          </w:p>
        </w:tc>
        <w:tc>
          <w:tcPr>
            <w:tcW w:w="1324" w:type="dxa"/>
            <w:tcBorders>
              <w:left w:val="single" w:sz="4" w:space="0" w:color="000000"/>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592 856</w:t>
            </w:r>
          </w:p>
        </w:tc>
        <w:tc>
          <w:tcPr>
            <w:tcW w:w="1108" w:type="dxa"/>
            <w:tcBorders>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548 621</w:t>
            </w:r>
          </w:p>
        </w:tc>
        <w:tc>
          <w:tcPr>
            <w:tcW w:w="959" w:type="dxa"/>
            <w:tcBorders>
              <w:bottom w:val="single" w:sz="4" w:space="0" w:color="000000"/>
              <w:right w:val="single" w:sz="4" w:space="0" w:color="000000"/>
            </w:tcBorders>
            <w:shd w:color="auto" w:fill="auto" w:val="clear"/>
            <w:vAlign w:val="center"/>
          </w:tcPr>
          <w:p>
            <w:pPr>
              <w:pStyle w:val="NoSpacing"/>
              <w:widowControl w:val="false"/>
              <w:jc w:val="center"/>
              <w:rPr>
                <w:rFonts w:ascii="Calibri" w:hAnsi="Calibri" w:eastAsia="Times New Roman" w:cs="Calibri" w:asciiTheme="minorHAnsi" w:cstheme="minorHAnsi" w:hAnsiTheme="minorHAnsi"/>
              </w:rPr>
            </w:pPr>
            <w:r>
              <w:rPr>
                <w:rFonts w:eastAsia="Times New Roman" w:cs="Calibri" w:cstheme="minorHAnsi"/>
              </w:rPr>
              <w:t>497 092</w:t>
            </w:r>
          </w:p>
        </w:tc>
      </w:tr>
    </w:tbl>
    <w:p>
      <w:pPr>
        <w:pStyle w:val="NoSpacing"/>
        <w:jc w:val="center"/>
        <w:rPr>
          <w:rFonts w:ascii="Calibri" w:hAnsi="Calibri" w:eastAsia="Times New Roman" w:cs="Calibri" w:asciiTheme="minorHAnsi" w:cstheme="minorHAnsi" w:hAnsiTheme="minorHAnsi"/>
          <w:iCs/>
          <w:sz w:val="20"/>
          <w:szCs w:val="20"/>
          <w:lang w:eastAsia="x-none"/>
        </w:rPr>
      </w:pPr>
      <w:bookmarkStart w:id="174" w:name="_Hlk118561545"/>
      <w:bookmarkStart w:id="175" w:name="_Toc536095373"/>
      <w:bookmarkEnd w:id="174"/>
      <w:r>
        <w:rPr>
          <w:rFonts w:eastAsia="Times New Roman" w:cs="Calibri" w:cstheme="minorHAnsi"/>
          <w:iCs/>
          <w:sz w:val="20"/>
          <w:szCs w:val="20"/>
          <w:lang w:eastAsia="x-none"/>
        </w:rPr>
        <w:t>Źródło: opracowanie własne wg danych Głównego Urzędu Statystycznego</w:t>
      </w:r>
      <w:bookmarkEnd w:id="175"/>
    </w:p>
    <w:p>
      <w:pPr>
        <w:pStyle w:val="NoSpacing"/>
        <w:jc w:val="center"/>
        <w:rPr>
          <w:rFonts w:ascii="Calibri" w:hAnsi="Calibri" w:eastAsia="Times New Roman" w:cs="Calibri" w:asciiTheme="minorHAnsi" w:cstheme="minorHAnsi" w:hAnsiTheme="minorHAnsi"/>
          <w:i/>
          <w:i/>
          <w:color w:val="FF0000"/>
          <w:lang w:eastAsia="x-none"/>
        </w:rPr>
      </w:pPr>
      <w:r>
        <w:rPr>
          <w:rFonts w:eastAsia="Times New Roman" w:cs="Calibri" w:cstheme="minorHAnsi"/>
          <w:i/>
          <w:color w:val="FF0000"/>
          <w:lang w:eastAsia="x-none"/>
        </w:rPr>
        <w:tab/>
        <w:tab/>
      </w:r>
    </w:p>
    <w:p>
      <w:pPr>
        <w:pStyle w:val="NoSpacing"/>
        <w:rPr>
          <w:rFonts w:ascii="Calibri" w:hAnsi="Calibri" w:eastAsia="Times New Roman" w:cs="Calibri" w:asciiTheme="minorHAnsi" w:cstheme="minorHAnsi" w:hAnsiTheme="minorHAnsi"/>
          <w:lang w:eastAsia="pl-PL"/>
        </w:rPr>
      </w:pPr>
      <w:r>
        <w:rPr>
          <w:rFonts w:eastAsia="Times New Roman" w:cs="Calibri" w:cstheme="minorHAnsi"/>
          <w:lang w:eastAsia="pl-PL"/>
        </w:rPr>
        <w:t>Prognozy demograficzne dla Gminy Dwikozy również wskazują na spadek liczby ludności.</w:t>
      </w:r>
    </w:p>
    <w:p>
      <w:pPr>
        <w:pStyle w:val="NoSpacing"/>
        <w:jc w:val="center"/>
        <w:rPr>
          <w:rFonts w:ascii="Calibri" w:hAnsi="Calibri" w:cs="Calibri" w:asciiTheme="minorHAnsi" w:cstheme="minorHAnsi" w:hAnsiTheme="minorHAnsi"/>
          <w:highlight w:val="yellow"/>
        </w:rPr>
      </w:pPr>
      <w:r>
        <w:rPr>
          <w:rFonts w:cs="Calibri" w:cstheme="minorHAnsi"/>
          <w:highlight w:val="yellow"/>
        </w:rPr>
      </w:r>
    </w:p>
    <w:p>
      <w:pPr>
        <w:pStyle w:val="NoSpacing"/>
        <w:jc w:val="center"/>
        <w:rPr>
          <w:rFonts w:ascii="Calibri" w:hAnsi="Calibri" w:eastAsia="Times New Roman" w:cs="Calibri" w:asciiTheme="minorHAnsi" w:cstheme="minorHAnsi" w:hAnsiTheme="minorHAnsi"/>
          <w:i/>
          <w:i/>
          <w:sz w:val="20"/>
          <w:szCs w:val="20"/>
          <w:lang w:eastAsia="x-none"/>
        </w:rPr>
      </w:pPr>
      <w:bookmarkStart w:id="176" w:name="_Toc118887774"/>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25</w:t>
      </w:r>
      <w:r>
        <w:rPr>
          <w:sz w:val="20"/>
          <w:szCs w:val="20"/>
          <w:rFonts w:cs="Calibri"/>
        </w:rPr>
        <w:fldChar w:fldCharType="end"/>
      </w:r>
      <w:r>
        <w:rPr>
          <w:rFonts w:cs="Calibri" w:cstheme="minorHAnsi"/>
          <w:sz w:val="20"/>
          <w:szCs w:val="20"/>
        </w:rPr>
        <w:t xml:space="preserve"> Prognoza ludności Gminy Dwikozy na lata 2025-2030</w:t>
      </w:r>
      <w:bookmarkEnd w:id="176"/>
    </w:p>
    <w:tbl>
      <w:tblPr>
        <w:tblW w:w="10348" w:type="dxa"/>
        <w:jc w:val="left"/>
        <w:tblInd w:w="-639" w:type="dxa"/>
        <w:tblLayout w:type="fixed"/>
        <w:tblCellMar>
          <w:top w:w="0" w:type="dxa"/>
          <w:left w:w="70" w:type="dxa"/>
          <w:bottom w:w="0" w:type="dxa"/>
          <w:right w:w="70" w:type="dxa"/>
        </w:tblCellMar>
        <w:tblLook w:firstRow="1" w:noVBand="1" w:lastRow="0" w:firstColumn="1" w:lastColumn="0" w:noHBand="0" w:val="04a0"/>
      </w:tblPr>
      <w:tblGrid>
        <w:gridCol w:w="1560"/>
        <w:gridCol w:w="2200"/>
        <w:gridCol w:w="1060"/>
        <w:gridCol w:w="1134"/>
        <w:gridCol w:w="1134"/>
        <w:gridCol w:w="1133"/>
        <w:gridCol w:w="992"/>
        <w:gridCol w:w="1133"/>
      </w:tblGrid>
      <w:tr>
        <w:trPr>
          <w:trHeight w:val="375" w:hRule="atLeast"/>
        </w:trPr>
        <w:tc>
          <w:tcPr>
            <w:tcW w:w="1560" w:type="dxa"/>
            <w:tcBorders>
              <w:top w:val="single" w:sz="8" w:space="0" w:color="000000"/>
              <w:left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Płeć</w:t>
            </w:r>
          </w:p>
        </w:tc>
        <w:tc>
          <w:tcPr>
            <w:tcW w:w="2200" w:type="dxa"/>
            <w:tcBorders>
              <w:top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Wiek</w:t>
            </w:r>
          </w:p>
        </w:tc>
        <w:tc>
          <w:tcPr>
            <w:tcW w:w="1060" w:type="dxa"/>
            <w:tcBorders>
              <w:top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2025</w:t>
            </w:r>
          </w:p>
        </w:tc>
        <w:tc>
          <w:tcPr>
            <w:tcW w:w="1134" w:type="dxa"/>
            <w:tcBorders>
              <w:top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2026</w:t>
            </w:r>
          </w:p>
        </w:tc>
        <w:tc>
          <w:tcPr>
            <w:tcW w:w="1134" w:type="dxa"/>
            <w:tcBorders>
              <w:top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2027</w:t>
            </w:r>
          </w:p>
        </w:tc>
        <w:tc>
          <w:tcPr>
            <w:tcW w:w="1133" w:type="dxa"/>
            <w:tcBorders>
              <w:top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2028</w:t>
            </w:r>
          </w:p>
        </w:tc>
        <w:tc>
          <w:tcPr>
            <w:tcW w:w="992" w:type="dxa"/>
            <w:tcBorders>
              <w:top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2029</w:t>
            </w:r>
          </w:p>
        </w:tc>
        <w:tc>
          <w:tcPr>
            <w:tcW w:w="1133" w:type="dxa"/>
            <w:tcBorders>
              <w:top w:val="single" w:sz="8" w:space="0" w:color="000000"/>
              <w:bottom w:val="single" w:sz="8" w:space="0" w:color="000000"/>
              <w:right w:val="single" w:sz="8"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2030</w:t>
            </w:r>
          </w:p>
        </w:tc>
      </w:tr>
      <w:tr>
        <w:trPr>
          <w:trHeight w:val="315" w:hRule="atLeast"/>
        </w:trPr>
        <w:tc>
          <w:tcPr>
            <w:tcW w:w="1560" w:type="dxa"/>
            <w:vMerge w:val="restart"/>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Ogółem</w:t>
            </w:r>
          </w:p>
          <w:p>
            <w:pPr>
              <w:pStyle w:val="Normal"/>
              <w:widowControl w:val="false"/>
              <w:spacing w:lineRule="auto" w:line="240" w:before="0" w:after="0"/>
              <w:ind w:left="-359" w:firstLine="359"/>
              <w:jc w:val="center"/>
              <w:rPr>
                <w:rFonts w:eastAsia="Times New Roman" w:cs="Calibri" w:cstheme="minorHAnsi"/>
                <w:color w:val="000000"/>
                <w:lang w:eastAsia="pl-PL"/>
              </w:rPr>
            </w:pPr>
            <w:r>
              <w:rPr>
                <w:rFonts w:eastAsia="Times New Roman" w:cs="Calibri" w:cstheme="minorHAnsi"/>
                <w:color w:val="000000"/>
                <w:lang w:eastAsia="pl-PL"/>
              </w:rPr>
            </w:r>
          </w:p>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Ogółem</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8 448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8 398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8 344</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8 289</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8 235</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8 182</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przedprodukcyjny 0-17</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1 300</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1 271</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1 251</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1 239</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1 222</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1 205</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produkcyjny 18-59/64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4 895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4 883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4 840</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4 785</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4 725</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4 678</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mobilny 18-44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2 896</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2 837</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2 742</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2 676</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2 581</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2 497</w:t>
            </w:r>
          </w:p>
        </w:tc>
      </w:tr>
      <w:tr>
        <w:trPr>
          <w:trHeight w:val="315" w:hRule="atLeast"/>
        </w:trPr>
        <w:tc>
          <w:tcPr>
            <w:tcW w:w="1560" w:type="dxa"/>
            <w:vMerge w:val="restart"/>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niemobilny  44-59/64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1 999</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2 046</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2 098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2 109</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2 144</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2 181</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poprodukcyjny 60+/65+</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2 253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2 244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2 253</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2 265</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2 288</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2 299</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0-14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1 065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1 053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1 038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1 029</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1 013</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998</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15-59</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4 888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4 851</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4 798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4 753</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4 703</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4 638</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2 495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2 494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2 508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2 507</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2 519</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2 546</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top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5 414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5 378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5 314</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5 257</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5 196</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5 142</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top w:val="dashed" w:sz="4"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65+</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1 969</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1 967</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1 992</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2 003</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2 026</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2 042</w:t>
            </w:r>
          </w:p>
        </w:tc>
      </w:tr>
      <w:tr>
        <w:trPr>
          <w:trHeight w:val="315" w:hRule="atLeast"/>
        </w:trPr>
        <w:tc>
          <w:tcPr>
            <w:tcW w:w="1560" w:type="dxa"/>
            <w:vMerge w:val="continue"/>
            <w:tcBorders>
              <w:left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top w:val="dashed" w:sz="4"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394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403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418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452</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478</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508</w:t>
            </w:r>
          </w:p>
        </w:tc>
      </w:tr>
      <w:tr>
        <w:trPr>
          <w:trHeight w:val="315" w:hRule="atLeast"/>
        </w:trPr>
        <w:tc>
          <w:tcPr>
            <w:tcW w:w="1560" w:type="dxa"/>
            <w:vMerge w:val="restart"/>
            <w:tcBorders>
              <w:top w:val="single" w:sz="8" w:space="0" w:color="000000"/>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Mężczyźni</w:t>
            </w:r>
          </w:p>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Ogółem</w:t>
            </w:r>
          </w:p>
        </w:tc>
        <w:tc>
          <w:tcPr>
            <w:tcW w:w="1060"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4 197</w:t>
            </w:r>
          </w:p>
        </w:tc>
        <w:tc>
          <w:tcPr>
            <w:tcW w:w="1134"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4 168</w:t>
            </w:r>
          </w:p>
        </w:tc>
        <w:tc>
          <w:tcPr>
            <w:tcW w:w="1134"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4 137</w:t>
            </w:r>
          </w:p>
        </w:tc>
        <w:tc>
          <w:tcPr>
            <w:tcW w:w="1133"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4 107</w:t>
            </w:r>
          </w:p>
        </w:tc>
        <w:tc>
          <w:tcPr>
            <w:tcW w:w="992"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4 074</w:t>
            </w:r>
          </w:p>
        </w:tc>
        <w:tc>
          <w:tcPr>
            <w:tcW w:w="1133" w:type="dxa"/>
            <w:tcBorders>
              <w:top w:val="single" w:sz="8" w:space="0" w:color="000000"/>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4 044</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przedprodukcyjny 0-17</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674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653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643</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631</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620</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618</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produkcyjny 18-64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2 688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2 686</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2 659</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2 632</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2 601</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2 570</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mobilny 18-44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1 543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1 513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1 461</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1 420</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1 374</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1 325</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niemobilny  44-64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1 145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1 173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1 198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1 212</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1 227</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1 245</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poprodukcyjny 65+</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835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829</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835</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844</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853</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856</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0-14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546</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538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536</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535</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522</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515</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15-59</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2 574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2 551</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2 511</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2 486</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2 468</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2 426</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1 077</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1 079</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1 090</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1 086</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1 084</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1 103</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2 816</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2 801</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2 766</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2 728</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2 699</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2 673</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65+</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835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829</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835</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844</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853</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856</w:t>
            </w:r>
          </w:p>
        </w:tc>
      </w:tr>
      <w:tr>
        <w:trPr>
          <w:trHeight w:val="315" w:hRule="atLeast"/>
        </w:trPr>
        <w:tc>
          <w:tcPr>
            <w:tcW w:w="1560" w:type="dxa"/>
            <w:vMerge w:val="continue"/>
            <w:tcBorders>
              <w:left w:val="single" w:sz="8" w:space="0" w:color="000000"/>
              <w:right w:val="single" w:sz="4"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F3E6B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123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125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131</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141</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150</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161</w:t>
            </w:r>
          </w:p>
        </w:tc>
      </w:tr>
      <w:tr>
        <w:trPr>
          <w:trHeight w:val="315" w:hRule="atLeast"/>
        </w:trPr>
        <w:tc>
          <w:tcPr>
            <w:tcW w:w="1560" w:type="dxa"/>
            <w:vMerge w:val="restart"/>
            <w:tcBorders>
              <w:top w:val="single" w:sz="8" w:space="0" w:color="000000"/>
              <w:left w:val="single" w:sz="8" w:space="0" w:color="000000"/>
              <w:bottom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Kobiety</w:t>
            </w:r>
          </w:p>
        </w:tc>
        <w:tc>
          <w:tcPr>
            <w:tcW w:w="2200" w:type="dxa"/>
            <w:tcBorders>
              <w:top w:val="single" w:sz="8" w:space="0" w:color="000000"/>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Ogółem</w:t>
            </w:r>
          </w:p>
        </w:tc>
        <w:tc>
          <w:tcPr>
            <w:tcW w:w="1060"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4 251</w:t>
            </w:r>
          </w:p>
        </w:tc>
        <w:tc>
          <w:tcPr>
            <w:tcW w:w="1134"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4 230</w:t>
            </w:r>
          </w:p>
        </w:tc>
        <w:tc>
          <w:tcPr>
            <w:tcW w:w="1134"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4 207</w:t>
            </w:r>
          </w:p>
        </w:tc>
        <w:tc>
          <w:tcPr>
            <w:tcW w:w="1133"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4 182</w:t>
            </w:r>
          </w:p>
        </w:tc>
        <w:tc>
          <w:tcPr>
            <w:tcW w:w="992" w:type="dxa"/>
            <w:tcBorders>
              <w:top w:val="single" w:sz="8"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4 161</w:t>
            </w:r>
          </w:p>
        </w:tc>
        <w:tc>
          <w:tcPr>
            <w:tcW w:w="1133" w:type="dxa"/>
            <w:tcBorders>
              <w:top w:val="single" w:sz="8" w:space="0" w:color="000000"/>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4 138</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przedprodukcyjny 0-17</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626</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618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608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608</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602</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587</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produkcyjny 18-59</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2 207</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2 197</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2 181</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2 153</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2 124</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2 108</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mobilny 18-44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1 353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1 324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1 281</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1 256</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1 207</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1 172</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niemobilny - 44-59</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854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873</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900</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897</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917</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936</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poprodukcyjny 60+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1 418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1 415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1 418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1 421</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1 435</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1 443</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0-14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519</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515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502</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494</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491</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483</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15-59</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2 314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2 300</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2 287</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2 267</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2 235</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2 212</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1 418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1 415</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1 418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1 421</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1 435</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1 443</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15-64</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2 598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2 577</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2 548</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2 529</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2 497</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2 469</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65+</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1 134</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1 138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1 157</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1 159</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1 173</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1 186</w:t>
            </w:r>
          </w:p>
        </w:tc>
      </w:tr>
      <w:tr>
        <w:trPr>
          <w:trHeight w:val="315" w:hRule="atLeast"/>
        </w:trPr>
        <w:tc>
          <w:tcPr>
            <w:tcW w:w="1560" w:type="dxa"/>
            <w:vMerge w:val="continue"/>
            <w:tcBorders>
              <w:left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dashed" w:sz="4"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80+</w:t>
            </w:r>
          </w:p>
        </w:tc>
        <w:tc>
          <w:tcPr>
            <w:tcW w:w="1060"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271</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278</w:t>
            </w:r>
          </w:p>
        </w:tc>
        <w:tc>
          <w:tcPr>
            <w:tcW w:w="1134"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287</w:t>
            </w:r>
          </w:p>
        </w:tc>
        <w:tc>
          <w:tcPr>
            <w:tcW w:w="1133"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311</w:t>
            </w:r>
          </w:p>
        </w:tc>
        <w:tc>
          <w:tcPr>
            <w:tcW w:w="992" w:type="dxa"/>
            <w:tcBorders>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328</w:t>
            </w:r>
          </w:p>
        </w:tc>
        <w:tc>
          <w:tcPr>
            <w:tcW w:w="1133" w:type="dxa"/>
            <w:tcBorders>
              <w:bottom w:val="dotted" w:sz="4"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347</w:t>
            </w:r>
          </w:p>
        </w:tc>
      </w:tr>
      <w:tr>
        <w:trPr>
          <w:trHeight w:val="315" w:hRule="atLeast"/>
        </w:trPr>
        <w:tc>
          <w:tcPr>
            <w:tcW w:w="1560" w:type="dxa"/>
            <w:vMerge w:val="continue"/>
            <w:tcBorders>
              <w:left w:val="single" w:sz="8" w:space="0" w:color="000000"/>
              <w:bottom w:val="single" w:sz="8" w:space="0" w:color="000000"/>
              <w:right w:val="single" w:sz="4"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2200" w:type="dxa"/>
            <w:tcBorders>
              <w:bottom w:val="single" w:sz="8" w:space="0" w:color="000000"/>
              <w:right w:val="single" w:sz="8" w:space="0" w:color="000000"/>
            </w:tcBorders>
            <w:shd w:color="000000" w:fill="DDEBF7"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15-49</w:t>
            </w:r>
          </w:p>
        </w:tc>
        <w:tc>
          <w:tcPr>
            <w:tcW w:w="106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1 734</w:t>
            </w:r>
          </w:p>
        </w:tc>
        <w:tc>
          <w:tcPr>
            <w:tcW w:w="113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1 717</w:t>
            </w:r>
          </w:p>
        </w:tc>
        <w:tc>
          <w:tcPr>
            <w:tcW w:w="113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1 703</w:t>
            </w:r>
          </w:p>
        </w:tc>
        <w:tc>
          <w:tcPr>
            <w:tcW w:w="113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1 676</w:t>
            </w:r>
          </w:p>
        </w:tc>
        <w:tc>
          <w:tcPr>
            <w:tcW w:w="99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1 630</w:t>
            </w:r>
          </w:p>
        </w:tc>
        <w:tc>
          <w:tcPr>
            <w:tcW w:w="113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1 614</w:t>
            </w:r>
          </w:p>
        </w:tc>
      </w:tr>
    </w:tbl>
    <w:p>
      <w:pPr>
        <w:pStyle w:val="NoSpacing"/>
        <w:jc w:val="center"/>
        <w:rPr>
          <w:rFonts w:ascii="Calibri" w:hAnsi="Calibri" w:eastAsia="Times New Roman" w:cs="Calibri" w:asciiTheme="minorHAnsi" w:cstheme="minorHAnsi" w:hAnsiTheme="minorHAnsi"/>
          <w:iCs/>
          <w:sz w:val="20"/>
          <w:szCs w:val="20"/>
          <w:lang w:eastAsia="x-none"/>
        </w:rPr>
      </w:pPr>
      <w:r>
        <w:rPr>
          <w:rFonts w:eastAsia="Times New Roman" w:cs="Calibri" w:cstheme="minorHAnsi"/>
          <w:iCs/>
          <w:sz w:val="20"/>
          <w:szCs w:val="20"/>
          <w:lang w:eastAsia="x-none"/>
        </w:rPr>
        <w:t>Źródło: Główny Urzad Statystyczny</w:t>
      </w:r>
    </w:p>
    <w:p>
      <w:pPr>
        <w:pStyle w:val="Normal"/>
        <w:spacing w:lineRule="auto" w:line="240" w:before="0" w:after="0"/>
        <w:jc w:val="both"/>
        <w:rPr>
          <w:rFonts w:cs="Calibri" w:cstheme="minorHAnsi"/>
          <w:highlight w:val="yellow"/>
        </w:rPr>
      </w:pPr>
      <w:r>
        <w:rPr>
          <w:rFonts w:cs="Calibri" w:cstheme="minorHAnsi"/>
          <w:highlight w:val="yellow"/>
        </w:rPr>
      </w:r>
    </w:p>
    <w:p>
      <w:pPr>
        <w:pStyle w:val="Normal"/>
        <w:spacing w:lineRule="auto" w:line="240" w:before="0" w:after="0"/>
        <w:jc w:val="both"/>
        <w:rPr>
          <w:rFonts w:cs="Calibri" w:cstheme="minorHAnsi"/>
        </w:rPr>
      </w:pPr>
      <w:r>
        <w:rPr>
          <w:rFonts w:cs="Calibri" w:cstheme="minorHAnsi"/>
        </w:rPr>
        <w:t>Prognoza dla gminy, pomimo istotnie skróconego horyzontu czasowego (w porównaniu do prognoz dla powiatów i województw), również przewiduje szybki proces starzenia się ludności, który będzie miał miejsce w niedalekiej przyszłości. Według prognozy GUS do roku 2030 na obszarze Gminy Dwikozy należy spodziewać się:</w:t>
      </w:r>
    </w:p>
    <w:p>
      <w:pPr>
        <w:pStyle w:val="Normal"/>
        <w:numPr>
          <w:ilvl w:val="0"/>
          <w:numId w:val="17"/>
        </w:numPr>
        <w:spacing w:lineRule="auto" w:line="240" w:before="0" w:after="0"/>
        <w:contextualSpacing/>
        <w:jc w:val="both"/>
        <w:rPr>
          <w:rFonts w:cs="Calibri" w:cstheme="minorHAnsi"/>
        </w:rPr>
      </w:pPr>
      <w:bookmarkStart w:id="177" w:name="_Hlk118797076"/>
      <w:r>
        <w:rPr>
          <w:rFonts w:cs="Calibri" w:cstheme="minorHAnsi"/>
        </w:rPr>
        <w:t xml:space="preserve">spadku liczby ludności względem roku 2021 o 395 osób tj. 4,83%. Wg GUS w 2030r. teren gminy będzie zamieszkiwać  8 182 osoby, w tym 4138  kobiet i 4044 mężczyzn, </w:t>
      </w:r>
    </w:p>
    <w:p>
      <w:pPr>
        <w:pStyle w:val="Normal"/>
        <w:numPr>
          <w:ilvl w:val="0"/>
          <w:numId w:val="17"/>
        </w:numPr>
        <w:spacing w:lineRule="auto" w:line="240" w:before="0" w:after="0"/>
        <w:contextualSpacing/>
        <w:jc w:val="both"/>
        <w:rPr>
          <w:rFonts w:cs="Calibri" w:cstheme="minorHAnsi"/>
        </w:rPr>
      </w:pPr>
      <w:r>
        <w:rPr>
          <w:rFonts w:cs="Calibri" w:cstheme="minorHAnsi"/>
        </w:rPr>
        <w:t>znacznego wzrostu liczby mieszkańców gminy w wieku poprodukcyjnym, który będzie wynosić 28,1% ogółu ludności,</w:t>
      </w:r>
    </w:p>
    <w:p>
      <w:pPr>
        <w:pStyle w:val="Normal"/>
        <w:numPr>
          <w:ilvl w:val="0"/>
          <w:numId w:val="17"/>
        </w:numPr>
        <w:spacing w:lineRule="auto" w:line="240" w:before="0" w:after="0"/>
        <w:contextualSpacing/>
        <w:jc w:val="both"/>
        <w:rPr>
          <w:rFonts w:cs="Calibri" w:cstheme="minorHAnsi"/>
        </w:rPr>
      </w:pPr>
      <w:bookmarkStart w:id="178" w:name="_Hlk118797076"/>
      <w:r>
        <w:rPr>
          <w:rFonts w:cs="Calibri" w:cstheme="minorHAnsi"/>
        </w:rPr>
        <w:t>spadek liczby osób w wieku przedprodukcyjnym (względem 2016r.) z poziomu 15,5% do 14,7% oraz produkcyjnym z poziomu 62,9% do 57,2%.</w:t>
      </w:r>
      <w:bookmarkEnd w:id="178"/>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center"/>
        <w:rPr>
          <w:rFonts w:cs="Calibri" w:cstheme="minorHAnsi"/>
          <w:sz w:val="20"/>
          <w:szCs w:val="20"/>
        </w:rPr>
      </w:pPr>
      <w:bookmarkStart w:id="179" w:name="_Hlk118561610"/>
      <w:bookmarkStart w:id="180" w:name="_Toc118887775"/>
      <w:bookmarkStart w:id="181" w:name="_Toc89406546"/>
      <w:bookmarkEnd w:id="179"/>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26</w:t>
      </w:r>
      <w:r>
        <w:rPr>
          <w:sz w:val="20"/>
          <w:szCs w:val="20"/>
          <w:rFonts w:cs="Calibri"/>
        </w:rPr>
        <w:fldChar w:fldCharType="end"/>
      </w:r>
      <w:r>
        <w:rPr>
          <w:rFonts w:cs="Calibri" w:cstheme="minorHAnsi"/>
          <w:sz w:val="20"/>
          <w:szCs w:val="20"/>
        </w:rPr>
        <w:t xml:space="preserve"> Struktura ludności w Gminie Dwikozy w roku 2016 i 2030 wg prognoz GUS</w:t>
      </w:r>
      <w:bookmarkEnd w:id="180"/>
      <w:bookmarkEnd w:id="181"/>
    </w:p>
    <w:tbl>
      <w:tblPr>
        <w:tblW w:w="683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905"/>
        <w:gridCol w:w="1464"/>
        <w:gridCol w:w="1463"/>
      </w:tblGrid>
      <w:tr>
        <w:trPr>
          <w:trHeight w:val="202" w:hRule="atLeast"/>
        </w:trPr>
        <w:tc>
          <w:tcPr>
            <w:tcW w:w="6832" w:type="dxa"/>
            <w:gridSpan w:val="3"/>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 xml:space="preserve">STRUKTURA LUDNOŚĆI </w:t>
            </w:r>
            <w:r>
              <w:rPr>
                <w:rFonts w:eastAsia="Times New Roman" w:cs="Calibri" w:cstheme="minorHAnsi"/>
                <w:b/>
                <w:bCs/>
                <w:i/>
                <w:iCs/>
                <w:lang w:eastAsia="pl-PL"/>
              </w:rPr>
              <w:t>(w %)</w:t>
            </w:r>
          </w:p>
        </w:tc>
      </w:tr>
      <w:tr>
        <w:trPr>
          <w:trHeight w:val="223" w:hRule="atLeast"/>
        </w:trPr>
        <w:tc>
          <w:tcPr>
            <w:tcW w:w="3905" w:type="dxa"/>
            <w:tcBorders>
              <w:lef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1464" w:type="dxa"/>
            <w:tcBorders>
              <w:lef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1463" w:type="dxa"/>
            <w:tcBorders>
              <w:left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2030</w:t>
            </w:r>
          </w:p>
        </w:tc>
      </w:tr>
      <w:tr>
        <w:trPr>
          <w:trHeight w:val="223" w:hRule="atLeast"/>
        </w:trPr>
        <w:tc>
          <w:tcPr>
            <w:tcW w:w="3905" w:type="dxa"/>
            <w:tcBorders>
              <w:top w:val="single" w:sz="4" w:space="0" w:color="000000"/>
              <w:left w:val="single" w:sz="4" w:space="0" w:color="000000"/>
              <w:bottom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2927" w:type="dxa"/>
            <w:gridSpan w:val="2"/>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Ogółem</w:t>
            </w:r>
          </w:p>
        </w:tc>
      </w:tr>
      <w:tr>
        <w:trPr>
          <w:trHeight w:val="277" w:hRule="atLeast"/>
        </w:trPr>
        <w:tc>
          <w:tcPr>
            <w:tcW w:w="3905" w:type="dxa"/>
            <w:tcBorders>
              <w:left w:val="single" w:sz="4"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przedprodukcyjny</w:t>
            </w:r>
          </w:p>
        </w:tc>
        <w:tc>
          <w:tcPr>
            <w:tcW w:w="1464" w:type="dxa"/>
            <w:tcBorders>
              <w:top w:val="single" w:sz="4" w:space="0" w:color="000000"/>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15,5</w:t>
            </w:r>
          </w:p>
        </w:tc>
        <w:tc>
          <w:tcPr>
            <w:tcW w:w="1463"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14,7</w:t>
            </w:r>
          </w:p>
        </w:tc>
      </w:tr>
      <w:tr>
        <w:trPr>
          <w:trHeight w:val="298" w:hRule="atLeast"/>
        </w:trPr>
        <w:tc>
          <w:tcPr>
            <w:tcW w:w="3905" w:type="dxa"/>
            <w:tcBorders>
              <w:left w:val="single" w:sz="4"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produkcyjny</w:t>
            </w:r>
          </w:p>
        </w:tc>
        <w:tc>
          <w:tcPr>
            <w:tcW w:w="1464"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62,9</w:t>
            </w:r>
          </w:p>
        </w:tc>
        <w:tc>
          <w:tcPr>
            <w:tcW w:w="1463" w:type="dxa"/>
            <w:tcBorders>
              <w:top w:val="dotted" w:sz="4"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57,2</w:t>
            </w:r>
          </w:p>
        </w:tc>
      </w:tr>
      <w:tr>
        <w:trPr>
          <w:trHeight w:val="341" w:hRule="atLeast"/>
        </w:trPr>
        <w:tc>
          <w:tcPr>
            <w:tcW w:w="3905" w:type="dxa"/>
            <w:tcBorders>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poprodukcyjny</w:t>
            </w:r>
          </w:p>
        </w:tc>
        <w:tc>
          <w:tcPr>
            <w:tcW w:w="14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21,6</w:t>
            </w:r>
          </w:p>
        </w:tc>
        <w:tc>
          <w:tcPr>
            <w:tcW w:w="14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28,1</w:t>
            </w:r>
          </w:p>
        </w:tc>
      </w:tr>
    </w:tbl>
    <w:p>
      <w:pPr>
        <w:pStyle w:val="Normal"/>
        <w:spacing w:lineRule="auto" w:line="240" w:before="0" w:after="0"/>
        <w:rPr>
          <w:rFonts w:cs="Calibri" w:cstheme="minorHAnsi"/>
        </w:rPr>
      </w:pPr>
      <w:r>
        <w:rPr>
          <w:rFonts w:cs="Calibri" w:cstheme="minorHAnsi"/>
        </w:rPr>
      </w:r>
    </w:p>
    <w:tbl>
      <w:tblPr>
        <w:tblW w:w="6804" w:type="dxa"/>
        <w:jc w:val="left"/>
        <w:tblInd w:w="1129" w:type="dxa"/>
        <w:tblLayout w:type="fixed"/>
        <w:tblCellMar>
          <w:top w:w="0" w:type="dxa"/>
          <w:left w:w="70" w:type="dxa"/>
          <w:bottom w:w="0" w:type="dxa"/>
          <w:right w:w="70" w:type="dxa"/>
        </w:tblCellMar>
        <w:tblLook w:firstRow="1" w:noVBand="1" w:lastRow="0" w:firstColumn="1" w:lastColumn="0" w:noHBand="0" w:val="04a0"/>
      </w:tblPr>
      <w:tblGrid>
        <w:gridCol w:w="3827"/>
        <w:gridCol w:w="1559"/>
        <w:gridCol w:w="1418"/>
      </w:tblGrid>
      <w:tr>
        <w:trPr>
          <w:trHeight w:val="285" w:hRule="atLeast"/>
        </w:trPr>
        <w:tc>
          <w:tcPr>
            <w:tcW w:w="6804" w:type="dxa"/>
            <w:gridSpan w:val="3"/>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 xml:space="preserve">STRUKTURA LUDNOŚĆI </w:t>
            </w:r>
            <w:r>
              <w:rPr>
                <w:rFonts w:eastAsia="Times New Roman" w:cs="Calibri" w:cstheme="minorHAnsi"/>
                <w:b/>
                <w:bCs/>
                <w:i/>
                <w:iCs/>
                <w:lang w:eastAsia="pl-PL"/>
              </w:rPr>
              <w:t>(w %)</w:t>
            </w:r>
          </w:p>
        </w:tc>
      </w:tr>
      <w:tr>
        <w:trPr>
          <w:trHeight w:val="315" w:hRule="atLeast"/>
        </w:trPr>
        <w:tc>
          <w:tcPr>
            <w:tcW w:w="3827" w:type="dxa"/>
            <w:tcBorders>
              <w:left w:val="single" w:sz="4" w:space="0" w:color="000000"/>
            </w:tcBorders>
            <w:shd w:color="000000" w:fill="92D050"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1559" w:type="dxa"/>
            <w:tcBorders>
              <w:lef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1418" w:type="dxa"/>
            <w:tcBorders>
              <w:left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2030</w:t>
            </w:r>
          </w:p>
        </w:tc>
      </w:tr>
      <w:tr>
        <w:trPr>
          <w:trHeight w:val="315" w:hRule="atLeast"/>
        </w:trPr>
        <w:tc>
          <w:tcPr>
            <w:tcW w:w="3827" w:type="dxa"/>
            <w:tcBorders>
              <w:top w:val="single" w:sz="4" w:space="0" w:color="000000"/>
              <w:left w:val="single" w:sz="4" w:space="0" w:color="000000"/>
              <w:bottom w:val="single" w:sz="4" w:space="0" w:color="000000"/>
            </w:tcBorders>
            <w:shd w:color="000000" w:fill="92D050"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2977" w:type="dxa"/>
            <w:gridSpan w:val="2"/>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Mężczyźni</w:t>
            </w:r>
          </w:p>
        </w:tc>
      </w:tr>
      <w:tr>
        <w:trPr>
          <w:trHeight w:val="172" w:hRule="atLeast"/>
        </w:trPr>
        <w:tc>
          <w:tcPr>
            <w:tcW w:w="3827" w:type="dxa"/>
            <w:tcBorders>
              <w:left w:val="single" w:sz="4"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przedprodukcyjny</w:t>
            </w:r>
          </w:p>
        </w:tc>
        <w:tc>
          <w:tcPr>
            <w:tcW w:w="1559" w:type="dxa"/>
            <w:tcBorders>
              <w:top w:val="single" w:sz="4" w:space="0" w:color="000000"/>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16,7</w:t>
            </w:r>
          </w:p>
        </w:tc>
        <w:tc>
          <w:tcPr>
            <w:tcW w:w="1418"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15,3</w:t>
            </w:r>
          </w:p>
        </w:tc>
      </w:tr>
      <w:tr>
        <w:trPr>
          <w:trHeight w:val="70" w:hRule="atLeast"/>
        </w:trPr>
        <w:tc>
          <w:tcPr>
            <w:tcW w:w="3827" w:type="dxa"/>
            <w:tcBorders>
              <w:left w:val="single" w:sz="4"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produkcyjny</w:t>
            </w:r>
          </w:p>
        </w:tc>
        <w:tc>
          <w:tcPr>
            <w:tcW w:w="155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70,1</w:t>
            </w:r>
          </w:p>
        </w:tc>
        <w:tc>
          <w:tcPr>
            <w:tcW w:w="1418" w:type="dxa"/>
            <w:tcBorders>
              <w:top w:val="dotted" w:sz="4"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63,6</w:t>
            </w:r>
          </w:p>
        </w:tc>
      </w:tr>
      <w:tr>
        <w:trPr>
          <w:trHeight w:val="70" w:hRule="atLeast"/>
        </w:trPr>
        <w:tc>
          <w:tcPr>
            <w:tcW w:w="3827" w:type="dxa"/>
            <w:tcBorders>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poprodukcyjny</w:t>
            </w:r>
          </w:p>
        </w:tc>
        <w:tc>
          <w:tcPr>
            <w:tcW w:w="15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13,2</w:t>
            </w:r>
          </w:p>
        </w:tc>
        <w:tc>
          <w:tcPr>
            <w:tcW w:w="141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21,2</w:t>
            </w:r>
          </w:p>
        </w:tc>
      </w:tr>
    </w:tbl>
    <w:p>
      <w:pPr>
        <w:pStyle w:val="Normal"/>
        <w:spacing w:lineRule="auto" w:line="240" w:before="0" w:after="0"/>
        <w:jc w:val="center"/>
        <w:rPr>
          <w:rFonts w:cs="Calibri" w:cstheme="minorHAnsi"/>
        </w:rPr>
      </w:pPr>
      <w:r>
        <w:rPr>
          <w:rFonts w:cs="Calibri" w:cstheme="minorHAnsi"/>
        </w:rPr>
      </w:r>
    </w:p>
    <w:tbl>
      <w:tblPr>
        <w:tblW w:w="6894" w:type="dxa"/>
        <w:jc w:val="left"/>
        <w:tblInd w:w="1129" w:type="dxa"/>
        <w:tblLayout w:type="fixed"/>
        <w:tblCellMar>
          <w:top w:w="0" w:type="dxa"/>
          <w:left w:w="70" w:type="dxa"/>
          <w:bottom w:w="0" w:type="dxa"/>
          <w:right w:w="70" w:type="dxa"/>
        </w:tblCellMar>
        <w:tblLook w:firstRow="1" w:noVBand="1" w:lastRow="0" w:firstColumn="1" w:lastColumn="0" w:noHBand="0" w:val="04a0"/>
      </w:tblPr>
      <w:tblGrid>
        <w:gridCol w:w="4021"/>
        <w:gridCol w:w="1436"/>
        <w:gridCol w:w="1437"/>
      </w:tblGrid>
      <w:tr>
        <w:trPr>
          <w:trHeight w:val="203" w:hRule="atLeast"/>
        </w:trPr>
        <w:tc>
          <w:tcPr>
            <w:tcW w:w="6894" w:type="dxa"/>
            <w:gridSpan w:val="3"/>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 xml:space="preserve">STRUKTURA LUDNOŚĆI </w:t>
            </w:r>
            <w:r>
              <w:rPr>
                <w:rFonts w:eastAsia="Times New Roman" w:cs="Calibri" w:cstheme="minorHAnsi"/>
                <w:b/>
                <w:bCs/>
                <w:i/>
                <w:iCs/>
                <w:lang w:eastAsia="pl-PL"/>
              </w:rPr>
              <w:t>(w %)</w:t>
            </w:r>
          </w:p>
        </w:tc>
      </w:tr>
      <w:tr>
        <w:trPr>
          <w:trHeight w:val="225" w:hRule="atLeast"/>
        </w:trPr>
        <w:tc>
          <w:tcPr>
            <w:tcW w:w="4021" w:type="dxa"/>
            <w:tcBorders>
              <w:left w:val="single" w:sz="4" w:space="0" w:color="000000"/>
            </w:tcBorders>
            <w:shd w:color="000000" w:fill="92D050"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1436" w:type="dxa"/>
            <w:tcBorders>
              <w:lef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1437" w:type="dxa"/>
            <w:tcBorders>
              <w:left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2030</w:t>
            </w:r>
          </w:p>
        </w:tc>
      </w:tr>
      <w:tr>
        <w:trPr>
          <w:trHeight w:val="225" w:hRule="atLeast"/>
        </w:trPr>
        <w:tc>
          <w:tcPr>
            <w:tcW w:w="4021" w:type="dxa"/>
            <w:tcBorders>
              <w:top w:val="single" w:sz="4" w:space="0" w:color="000000"/>
              <w:left w:val="single" w:sz="4" w:space="0" w:color="000000"/>
              <w:bottom w:val="single" w:sz="4" w:space="0" w:color="000000"/>
            </w:tcBorders>
            <w:shd w:color="000000" w:fill="92D050"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2873" w:type="dxa"/>
            <w:gridSpan w:val="2"/>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Kobiety</w:t>
            </w:r>
          </w:p>
        </w:tc>
      </w:tr>
      <w:tr>
        <w:trPr>
          <w:trHeight w:val="278" w:hRule="atLeast"/>
        </w:trPr>
        <w:tc>
          <w:tcPr>
            <w:tcW w:w="4021" w:type="dxa"/>
            <w:tcBorders>
              <w:left w:val="single" w:sz="4"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przedprodukcyjny</w:t>
            </w:r>
          </w:p>
        </w:tc>
        <w:tc>
          <w:tcPr>
            <w:tcW w:w="1436" w:type="dxa"/>
            <w:tcBorders>
              <w:top w:val="single" w:sz="4" w:space="0" w:color="000000"/>
              <w:left w:val="single" w:sz="4" w:space="0" w:color="000000"/>
              <w:right w:val="single" w:sz="4" w:space="0" w:color="000000"/>
            </w:tcBorders>
            <w:shd w:color="auto" w:fill="auto" w:val="clear"/>
            <w:vAlign w:val="center"/>
          </w:tcPr>
          <w:p>
            <w:pPr>
              <w:pStyle w:val="Normal"/>
              <w:widowControl w:val="false"/>
              <w:spacing w:lineRule="auto" w:line="240" w:before="0" w:after="0"/>
              <w:ind w:left="-212" w:firstLine="212"/>
              <w:jc w:val="center"/>
              <w:rPr>
                <w:rFonts w:eastAsia="Times New Roman" w:cs="Calibri" w:cstheme="minorHAnsi"/>
                <w:lang w:eastAsia="pl-PL"/>
              </w:rPr>
            </w:pPr>
            <w:r>
              <w:rPr>
                <w:rFonts w:cs="Calibri" w:cstheme="minorHAnsi"/>
              </w:rPr>
              <w:t>14,4</w:t>
            </w:r>
          </w:p>
        </w:tc>
        <w:tc>
          <w:tcPr>
            <w:tcW w:w="1437"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14,2</w:t>
            </w:r>
          </w:p>
        </w:tc>
      </w:tr>
      <w:tr>
        <w:trPr>
          <w:trHeight w:val="300" w:hRule="atLeast"/>
        </w:trPr>
        <w:tc>
          <w:tcPr>
            <w:tcW w:w="4021" w:type="dxa"/>
            <w:tcBorders>
              <w:left w:val="single" w:sz="4"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produkcyjny</w:t>
            </w:r>
          </w:p>
        </w:tc>
        <w:tc>
          <w:tcPr>
            <w:tcW w:w="1436"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55,9</w:t>
            </w:r>
          </w:p>
        </w:tc>
        <w:tc>
          <w:tcPr>
            <w:tcW w:w="1437" w:type="dxa"/>
            <w:tcBorders>
              <w:top w:val="dotted" w:sz="4" w:space="0" w:color="000000"/>
              <w:bottom w:val="dott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50,9</w:t>
            </w:r>
          </w:p>
        </w:tc>
      </w:tr>
      <w:tr>
        <w:trPr>
          <w:trHeight w:val="343" w:hRule="atLeast"/>
        </w:trPr>
        <w:tc>
          <w:tcPr>
            <w:tcW w:w="4021" w:type="dxa"/>
            <w:tcBorders>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poprodukcyjny</w:t>
            </w:r>
          </w:p>
        </w:tc>
        <w:tc>
          <w:tcPr>
            <w:tcW w:w="143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29,7</w:t>
            </w:r>
          </w:p>
        </w:tc>
        <w:tc>
          <w:tcPr>
            <w:tcW w:w="143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cs="Calibri" w:cstheme="minorHAnsi"/>
              </w:rPr>
              <w:t>34,9</w:t>
            </w:r>
          </w:p>
        </w:tc>
      </w:tr>
    </w:tbl>
    <w:p>
      <w:pPr>
        <w:pStyle w:val="Normal"/>
        <w:spacing w:lineRule="auto" w:line="240" w:before="0" w:after="0"/>
        <w:jc w:val="center"/>
        <w:rPr>
          <w:rFonts w:cs="Calibri" w:cstheme="minorHAnsi"/>
          <w:sz w:val="20"/>
          <w:szCs w:val="20"/>
        </w:rPr>
      </w:pPr>
      <w:r>
        <w:rPr>
          <w:rFonts w:cs="Calibri" w:cstheme="minorHAnsi"/>
          <w:sz w:val="20"/>
          <w:szCs w:val="20"/>
        </w:rPr>
        <w:t>Źródło: Prognoza ludności gmin na lata 2017-2030 - tablice wojewódzkie</w:t>
      </w:r>
    </w:p>
    <w:p>
      <w:pPr>
        <w:pStyle w:val="Normal"/>
        <w:spacing w:lineRule="auto" w:line="240" w:before="0" w:after="0"/>
        <w:jc w:val="both"/>
        <w:rPr>
          <w:rFonts w:cs="Calibri" w:cstheme="minorHAnsi"/>
          <w:i/>
          <w:i/>
          <w:iCs/>
          <w:highlight w:val="yellow"/>
        </w:rPr>
      </w:pPr>
      <w:r>
        <w:rPr>
          <w:rFonts w:cs="Calibri" w:cstheme="minorHAnsi"/>
          <w:i/>
          <w:iCs/>
          <w:highlight w:val="yellow"/>
        </w:rPr>
      </w:r>
    </w:p>
    <w:p>
      <w:pPr>
        <w:pStyle w:val="Normal"/>
        <w:spacing w:lineRule="auto" w:line="240" w:before="0" w:after="0"/>
        <w:jc w:val="both"/>
        <w:rPr>
          <w:rFonts w:cs="Calibri" w:cstheme="minorHAnsi"/>
        </w:rPr>
      </w:pPr>
      <w:bookmarkStart w:id="182" w:name="_Hlk118561610"/>
      <w:bookmarkStart w:id="183" w:name="_Hlk118880727"/>
      <w:bookmarkEnd w:id="182"/>
      <w:r>
        <w:rPr>
          <w:rFonts w:cs="Calibri" w:cstheme="minorHAnsi"/>
        </w:rPr>
        <w:t>GUS prognozuje, że przyrost naturalny będzie w każdym roku ujemny. Dodatkowo na tak znaczny odpływ mieszkańców będzie miała wpływ migracja wewnętrzna, która również będzie się utrzymywać na ujemnym poziomie.</w:t>
      </w:r>
    </w:p>
    <w:p>
      <w:pPr>
        <w:pStyle w:val="Normal"/>
        <w:spacing w:lineRule="auto" w:line="240" w:before="0" w:after="0"/>
        <w:jc w:val="center"/>
        <w:rPr>
          <w:rFonts w:cs="Calibri" w:cstheme="minorHAnsi"/>
          <w:sz w:val="20"/>
          <w:szCs w:val="20"/>
        </w:rPr>
      </w:pPr>
      <w:r>
        <w:rPr>
          <w:rFonts w:cs="Calibri" w:cstheme="minorHAnsi"/>
          <w:sz w:val="20"/>
          <w:szCs w:val="20"/>
        </w:rPr>
      </w:r>
      <w:bookmarkStart w:id="184" w:name="_Toc89406547"/>
      <w:bookmarkStart w:id="185" w:name="_Toc89406547"/>
    </w:p>
    <w:p>
      <w:pPr>
        <w:pStyle w:val="Normal"/>
        <w:spacing w:lineRule="auto" w:line="240" w:before="0" w:after="0"/>
        <w:jc w:val="center"/>
        <w:rPr>
          <w:rFonts w:cs="Calibri" w:cstheme="minorHAnsi"/>
          <w:sz w:val="20"/>
          <w:szCs w:val="20"/>
        </w:rPr>
      </w:pPr>
      <w:bookmarkStart w:id="186" w:name="_Toc118887776"/>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27</w:t>
      </w:r>
      <w:r>
        <w:rPr>
          <w:sz w:val="20"/>
          <w:szCs w:val="20"/>
          <w:rFonts w:cs="Calibri"/>
        </w:rPr>
        <w:fldChar w:fldCharType="end"/>
      </w:r>
      <w:r>
        <w:rPr>
          <w:rFonts w:cs="Calibri" w:cstheme="minorHAnsi"/>
          <w:sz w:val="20"/>
          <w:szCs w:val="20"/>
        </w:rPr>
        <w:t xml:space="preserve"> Ruch naturalny i wędrówkowy – prognoza GUS</w:t>
      </w:r>
      <w:bookmarkEnd w:id="185"/>
      <w:r>
        <w:rPr>
          <w:rFonts w:cs="Calibri" w:cstheme="minorHAnsi"/>
          <w:sz w:val="20"/>
          <w:szCs w:val="20"/>
        </w:rPr>
        <w:t xml:space="preserve"> dla Gminy Dwikozy</w:t>
      </w:r>
      <w:bookmarkEnd w:id="186"/>
    </w:p>
    <w:tbl>
      <w:tblPr>
        <w:tblW w:w="9507" w:type="dxa"/>
        <w:jc w:val="left"/>
        <w:tblInd w:w="80" w:type="dxa"/>
        <w:tblLayout w:type="fixed"/>
        <w:tblCellMar>
          <w:top w:w="0" w:type="dxa"/>
          <w:left w:w="70" w:type="dxa"/>
          <w:bottom w:w="0" w:type="dxa"/>
          <w:right w:w="70" w:type="dxa"/>
        </w:tblCellMar>
        <w:tblLook w:firstRow="1" w:noVBand="1" w:lastRow="0" w:firstColumn="1" w:lastColumn="0" w:noHBand="0" w:val="04a0"/>
      </w:tblPr>
      <w:tblGrid>
        <w:gridCol w:w="1303"/>
        <w:gridCol w:w="1030"/>
        <w:gridCol w:w="1169"/>
        <w:gridCol w:w="933"/>
        <w:gridCol w:w="953"/>
        <w:gridCol w:w="960"/>
        <w:gridCol w:w="979"/>
        <w:gridCol w:w="1061"/>
        <w:gridCol w:w="1118"/>
      </w:tblGrid>
      <w:tr>
        <w:trPr>
          <w:trHeight w:val="299" w:hRule="atLeast"/>
        </w:trPr>
        <w:tc>
          <w:tcPr>
            <w:tcW w:w="1303" w:type="dxa"/>
            <w:vMerge w:val="restart"/>
            <w:tcBorders>
              <w:top w:val="single" w:sz="8" w:space="0" w:color="000000"/>
              <w:left w:val="single" w:sz="8" w:space="0" w:color="000000"/>
              <w:bottom w:val="single" w:sz="8" w:space="0" w:color="000000"/>
              <w:right w:val="single" w:sz="8"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Rok</w:t>
            </w:r>
          </w:p>
        </w:tc>
        <w:tc>
          <w:tcPr>
            <w:tcW w:w="1030" w:type="dxa"/>
            <w:vMerge w:val="restart"/>
            <w:tcBorders>
              <w:top w:val="single" w:sz="8" w:space="0" w:color="000000"/>
              <w:left w:val="single" w:sz="8" w:space="0" w:color="000000"/>
              <w:bottom w:val="single" w:sz="8" w:space="0" w:color="000000"/>
              <w:right w:val="single" w:sz="8"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Ludność,         stan w dniu 31 XII</w:t>
            </w:r>
          </w:p>
        </w:tc>
        <w:tc>
          <w:tcPr>
            <w:tcW w:w="2102" w:type="dxa"/>
            <w:gridSpan w:val="2"/>
            <w:tcBorders>
              <w:top w:val="single" w:sz="8" w:space="0" w:color="000000"/>
              <w:bottom w:val="single" w:sz="8" w:space="0" w:color="000000"/>
              <w:right w:val="single" w:sz="8"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Ruch naturalny</w:t>
            </w:r>
          </w:p>
        </w:tc>
        <w:tc>
          <w:tcPr>
            <w:tcW w:w="2892" w:type="dxa"/>
            <w:gridSpan w:val="3"/>
            <w:tcBorders>
              <w:top w:val="single" w:sz="8" w:space="0" w:color="000000"/>
              <w:bottom w:val="single" w:sz="8" w:space="0" w:color="000000"/>
              <w:right w:val="single" w:sz="8"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Migracje wewnętrzne na pobyt stały</w:t>
            </w:r>
          </w:p>
        </w:tc>
        <w:tc>
          <w:tcPr>
            <w:tcW w:w="2179" w:type="dxa"/>
            <w:gridSpan w:val="2"/>
            <w:tcBorders>
              <w:top w:val="single" w:sz="8" w:space="0" w:color="000000"/>
              <w:bottom w:val="single" w:sz="8" w:space="0" w:color="000000"/>
              <w:right w:val="single" w:sz="8"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Migracje zagraniczne na pobyt stały</w:t>
            </w:r>
          </w:p>
        </w:tc>
      </w:tr>
      <w:tr>
        <w:trPr>
          <w:trHeight w:val="532" w:hRule="atLeast"/>
        </w:trPr>
        <w:tc>
          <w:tcPr>
            <w:tcW w:w="130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eastAsia="Times New Roman" w:cs="Calibri" w:cstheme="minorHAnsi"/>
                <w:lang w:eastAsia="pl-PL"/>
              </w:rPr>
            </w:pPr>
            <w:r>
              <w:rPr>
                <w:rFonts w:eastAsia="Times New Roman" w:cs="Calibri" w:cstheme="minorHAnsi"/>
                <w:lang w:eastAsia="pl-PL"/>
              </w:rPr>
            </w:r>
          </w:p>
        </w:tc>
        <w:tc>
          <w:tcPr>
            <w:tcW w:w="103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eastAsia="Times New Roman" w:cs="Calibri" w:cstheme="minorHAnsi"/>
                <w:lang w:eastAsia="pl-PL"/>
              </w:rPr>
            </w:pPr>
            <w:r>
              <w:rPr>
                <w:rFonts w:eastAsia="Times New Roman" w:cs="Calibri" w:cstheme="minorHAnsi"/>
                <w:lang w:eastAsia="pl-PL"/>
              </w:rPr>
            </w:r>
          </w:p>
        </w:tc>
        <w:tc>
          <w:tcPr>
            <w:tcW w:w="1169" w:type="dxa"/>
            <w:tcBorders>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Urodzenia</w:t>
            </w:r>
          </w:p>
        </w:tc>
        <w:tc>
          <w:tcPr>
            <w:tcW w:w="933" w:type="dxa"/>
            <w:tcBorders>
              <w:bottom w:val="single" w:sz="8" w:space="0" w:color="000000"/>
              <w:right w:val="single" w:sz="8"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Zgony</w:t>
            </w:r>
          </w:p>
        </w:tc>
        <w:tc>
          <w:tcPr>
            <w:tcW w:w="953" w:type="dxa"/>
            <w:tcBorders>
              <w:bottom w:val="single" w:sz="8" w:space="0" w:color="000000"/>
              <w:right w:val="single" w:sz="4"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Napływ</w:t>
            </w:r>
          </w:p>
        </w:tc>
        <w:tc>
          <w:tcPr>
            <w:tcW w:w="960" w:type="dxa"/>
            <w:tcBorders>
              <w:bottom w:val="single" w:sz="8" w:space="0" w:color="000000"/>
              <w:right w:val="single" w:sz="8"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Odpływ</w:t>
            </w:r>
          </w:p>
        </w:tc>
        <w:tc>
          <w:tcPr>
            <w:tcW w:w="979" w:type="dxa"/>
            <w:tcBorders>
              <w:bottom w:val="single" w:sz="8" w:space="0" w:color="000000"/>
            </w:tcBorders>
            <w:shd w:color="000000" w:fill="92D050"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Saldo</w:t>
            </w:r>
          </w:p>
        </w:tc>
        <w:tc>
          <w:tcPr>
            <w:tcW w:w="1061" w:type="dxa"/>
            <w:tcBorders>
              <w:left w:val="single" w:sz="8" w:space="0" w:color="000000"/>
              <w:bottom w:val="single" w:sz="8" w:space="0" w:color="000000"/>
              <w:right w:val="single" w:sz="4"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Imigracja</w:t>
            </w:r>
          </w:p>
        </w:tc>
        <w:tc>
          <w:tcPr>
            <w:tcW w:w="1118" w:type="dxa"/>
            <w:tcBorders>
              <w:bottom w:val="single" w:sz="8" w:space="0" w:color="000000"/>
              <w:right w:val="single" w:sz="8" w:space="0" w:color="000000"/>
            </w:tcBorders>
            <w:shd w:color="000000" w:fill="00CC5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Emigracja</w:t>
            </w:r>
          </w:p>
        </w:tc>
      </w:tr>
      <w:tr>
        <w:trPr>
          <w:trHeight w:val="394" w:hRule="atLeast"/>
        </w:trPr>
        <w:tc>
          <w:tcPr>
            <w:tcW w:w="1303" w:type="dxa"/>
            <w:tcBorders>
              <w:left w:val="single" w:sz="8"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2025</w:t>
            </w:r>
          </w:p>
        </w:tc>
        <w:tc>
          <w:tcPr>
            <w:tcW w:w="1030" w:type="dxa"/>
            <w:tcBorders>
              <w:bottom w:val="dashed"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8 448</w:t>
            </w:r>
          </w:p>
        </w:tc>
        <w:tc>
          <w:tcPr>
            <w:tcW w:w="1169" w:type="dxa"/>
            <w:tcBorders>
              <w:left w:val="single" w:sz="8" w:space="0" w:color="000000"/>
              <w:bottom w:val="dashed" w:sz="4" w:space="0" w:color="000000"/>
              <w:right w:val="single" w:sz="4"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62</w:t>
            </w:r>
          </w:p>
        </w:tc>
        <w:tc>
          <w:tcPr>
            <w:tcW w:w="933" w:type="dxa"/>
            <w:tcBorders>
              <w:bottom w:val="dashed" w:sz="4" w:space="0" w:color="000000"/>
              <w:right w:val="single" w:sz="8"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100</w:t>
            </w:r>
          </w:p>
        </w:tc>
        <w:tc>
          <w:tcPr>
            <w:tcW w:w="953"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64</w:t>
            </w:r>
          </w:p>
        </w:tc>
        <w:tc>
          <w:tcPr>
            <w:tcW w:w="960"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76</w:t>
            </w:r>
          </w:p>
        </w:tc>
        <w:tc>
          <w:tcPr>
            <w:tcW w:w="979" w:type="dxa"/>
            <w:tcBorders>
              <w:top w:val="dashed" w:sz="4" w:space="0" w:color="000000"/>
              <w:bottom w:val="dashed" w:sz="4"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b/>
                <w:b/>
                <w:bCs/>
                <w:color w:val="FF0000"/>
                <w:lang w:eastAsia="pl-PL"/>
              </w:rPr>
            </w:pPr>
            <w:r>
              <w:rPr>
                <w:rFonts w:eastAsia="Times New Roman" w:cs="Calibri" w:cstheme="minorHAnsi"/>
                <w:b/>
                <w:bCs/>
                <w:color w:val="FF0000"/>
                <w:lang w:eastAsia="pl-PL"/>
              </w:rPr>
              <w:t>-12</w:t>
            </w:r>
          </w:p>
        </w:tc>
        <w:tc>
          <w:tcPr>
            <w:tcW w:w="1061" w:type="dxa"/>
            <w:tcBorders>
              <w:bottom w:val="dashed"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w:t>
            </w:r>
          </w:p>
        </w:tc>
        <w:tc>
          <w:tcPr>
            <w:tcW w:w="1118" w:type="dxa"/>
            <w:tcBorders>
              <w:bottom w:val="dashed" w:sz="4" w:space="0" w:color="000000"/>
              <w:right w:val="single" w:sz="8"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r>
      <w:tr>
        <w:trPr>
          <w:trHeight w:val="394" w:hRule="atLeast"/>
        </w:trPr>
        <w:tc>
          <w:tcPr>
            <w:tcW w:w="1303" w:type="dxa"/>
            <w:tcBorders>
              <w:left w:val="single" w:sz="8"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2026</w:t>
            </w:r>
          </w:p>
        </w:tc>
        <w:tc>
          <w:tcPr>
            <w:tcW w:w="1030" w:type="dxa"/>
            <w:tcBorders>
              <w:bottom w:val="dashed"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8 398</w:t>
            </w:r>
          </w:p>
        </w:tc>
        <w:tc>
          <w:tcPr>
            <w:tcW w:w="1169" w:type="dxa"/>
            <w:tcBorders>
              <w:left w:val="single" w:sz="8" w:space="0" w:color="000000"/>
              <w:bottom w:val="dashed" w:sz="4" w:space="0" w:color="000000"/>
              <w:right w:val="single" w:sz="4"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w:t>
            </w:r>
          </w:p>
        </w:tc>
        <w:tc>
          <w:tcPr>
            <w:tcW w:w="933" w:type="dxa"/>
            <w:tcBorders>
              <w:bottom w:val="dashed" w:sz="4" w:space="0" w:color="000000"/>
              <w:right w:val="single" w:sz="8"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98</w:t>
            </w:r>
          </w:p>
        </w:tc>
        <w:tc>
          <w:tcPr>
            <w:tcW w:w="953"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62</w:t>
            </w:r>
          </w:p>
        </w:tc>
        <w:tc>
          <w:tcPr>
            <w:tcW w:w="960"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75</w:t>
            </w:r>
          </w:p>
        </w:tc>
        <w:tc>
          <w:tcPr>
            <w:tcW w:w="979" w:type="dxa"/>
            <w:tcBorders>
              <w:top w:val="dashed" w:sz="4" w:space="0" w:color="000000"/>
              <w:bottom w:val="dashed" w:sz="4"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b/>
                <w:b/>
                <w:bCs/>
                <w:color w:val="FF0000"/>
                <w:lang w:eastAsia="pl-PL"/>
              </w:rPr>
            </w:pPr>
            <w:r>
              <w:rPr>
                <w:rFonts w:eastAsia="Times New Roman" w:cs="Calibri" w:cstheme="minorHAnsi"/>
                <w:b/>
                <w:bCs/>
                <w:color w:val="FF0000"/>
                <w:lang w:eastAsia="pl-PL"/>
              </w:rPr>
              <w:t>-13</w:t>
            </w:r>
          </w:p>
        </w:tc>
        <w:tc>
          <w:tcPr>
            <w:tcW w:w="1061" w:type="dxa"/>
            <w:tcBorders>
              <w:bottom w:val="dashed"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w:t>
            </w:r>
          </w:p>
        </w:tc>
        <w:tc>
          <w:tcPr>
            <w:tcW w:w="1118" w:type="dxa"/>
            <w:tcBorders>
              <w:bottom w:val="dashed" w:sz="4" w:space="0" w:color="000000"/>
              <w:right w:val="single" w:sz="8"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r>
      <w:tr>
        <w:trPr>
          <w:trHeight w:val="394" w:hRule="atLeast"/>
        </w:trPr>
        <w:tc>
          <w:tcPr>
            <w:tcW w:w="1303" w:type="dxa"/>
            <w:tcBorders>
              <w:left w:val="single" w:sz="8"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2027</w:t>
            </w:r>
          </w:p>
        </w:tc>
        <w:tc>
          <w:tcPr>
            <w:tcW w:w="1030" w:type="dxa"/>
            <w:tcBorders>
              <w:bottom w:val="dashed"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8 344</w:t>
            </w:r>
          </w:p>
        </w:tc>
        <w:tc>
          <w:tcPr>
            <w:tcW w:w="1169" w:type="dxa"/>
            <w:tcBorders>
              <w:left w:val="single" w:sz="8" w:space="0" w:color="000000"/>
              <w:bottom w:val="dashed" w:sz="4" w:space="0" w:color="000000"/>
              <w:right w:val="single" w:sz="4"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w:t>
            </w:r>
          </w:p>
        </w:tc>
        <w:tc>
          <w:tcPr>
            <w:tcW w:w="933" w:type="dxa"/>
            <w:tcBorders>
              <w:bottom w:val="dashed" w:sz="4" w:space="0" w:color="000000"/>
              <w:right w:val="single" w:sz="8"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101</w:t>
            </w:r>
          </w:p>
        </w:tc>
        <w:tc>
          <w:tcPr>
            <w:tcW w:w="953"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61</w:t>
            </w:r>
          </w:p>
        </w:tc>
        <w:tc>
          <w:tcPr>
            <w:tcW w:w="960"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74</w:t>
            </w:r>
          </w:p>
        </w:tc>
        <w:tc>
          <w:tcPr>
            <w:tcW w:w="979" w:type="dxa"/>
            <w:tcBorders>
              <w:top w:val="dashed" w:sz="4" w:space="0" w:color="000000"/>
              <w:bottom w:val="dashed" w:sz="4"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b/>
                <w:b/>
                <w:bCs/>
                <w:color w:val="FF0000"/>
                <w:lang w:eastAsia="pl-PL"/>
              </w:rPr>
            </w:pPr>
            <w:r>
              <w:rPr>
                <w:rFonts w:eastAsia="Times New Roman" w:cs="Calibri" w:cstheme="minorHAnsi"/>
                <w:b/>
                <w:bCs/>
                <w:color w:val="FF0000"/>
                <w:lang w:eastAsia="pl-PL"/>
              </w:rPr>
              <w:t>-13</w:t>
            </w:r>
          </w:p>
        </w:tc>
        <w:tc>
          <w:tcPr>
            <w:tcW w:w="1061" w:type="dxa"/>
            <w:tcBorders>
              <w:bottom w:val="dashed"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w:t>
            </w:r>
          </w:p>
        </w:tc>
        <w:tc>
          <w:tcPr>
            <w:tcW w:w="1118" w:type="dxa"/>
            <w:tcBorders>
              <w:bottom w:val="dashed" w:sz="4" w:space="0" w:color="000000"/>
              <w:right w:val="single" w:sz="8"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r>
      <w:tr>
        <w:trPr>
          <w:trHeight w:val="394" w:hRule="atLeast"/>
        </w:trPr>
        <w:tc>
          <w:tcPr>
            <w:tcW w:w="1303" w:type="dxa"/>
            <w:tcBorders>
              <w:left w:val="single" w:sz="8"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2028</w:t>
            </w:r>
          </w:p>
        </w:tc>
        <w:tc>
          <w:tcPr>
            <w:tcW w:w="1030" w:type="dxa"/>
            <w:tcBorders>
              <w:bottom w:val="dashed"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8 289</w:t>
            </w:r>
          </w:p>
        </w:tc>
        <w:tc>
          <w:tcPr>
            <w:tcW w:w="1169" w:type="dxa"/>
            <w:tcBorders>
              <w:left w:val="single" w:sz="8" w:space="0" w:color="000000"/>
              <w:bottom w:val="dashed" w:sz="4" w:space="0" w:color="000000"/>
              <w:right w:val="single" w:sz="4"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57</w:t>
            </w:r>
          </w:p>
        </w:tc>
        <w:tc>
          <w:tcPr>
            <w:tcW w:w="933" w:type="dxa"/>
            <w:tcBorders>
              <w:bottom w:val="dashed" w:sz="4" w:space="0" w:color="000000"/>
              <w:right w:val="single" w:sz="8"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102</w:t>
            </w:r>
          </w:p>
        </w:tc>
        <w:tc>
          <w:tcPr>
            <w:tcW w:w="953"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62</w:t>
            </w:r>
          </w:p>
        </w:tc>
        <w:tc>
          <w:tcPr>
            <w:tcW w:w="960"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73</w:t>
            </w:r>
          </w:p>
        </w:tc>
        <w:tc>
          <w:tcPr>
            <w:tcW w:w="979" w:type="dxa"/>
            <w:tcBorders>
              <w:top w:val="dashed" w:sz="4" w:space="0" w:color="000000"/>
              <w:bottom w:val="dashed" w:sz="4"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b/>
                <w:b/>
                <w:bCs/>
                <w:color w:val="FF0000"/>
                <w:lang w:eastAsia="pl-PL"/>
              </w:rPr>
            </w:pPr>
            <w:r>
              <w:rPr>
                <w:rFonts w:eastAsia="Times New Roman" w:cs="Calibri" w:cstheme="minorHAnsi"/>
                <w:b/>
                <w:bCs/>
                <w:color w:val="FF0000"/>
                <w:lang w:eastAsia="pl-PL"/>
              </w:rPr>
              <w:t>-11</w:t>
            </w:r>
          </w:p>
        </w:tc>
        <w:tc>
          <w:tcPr>
            <w:tcW w:w="1061" w:type="dxa"/>
            <w:tcBorders>
              <w:bottom w:val="dashed"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w:t>
            </w:r>
          </w:p>
        </w:tc>
        <w:tc>
          <w:tcPr>
            <w:tcW w:w="1118" w:type="dxa"/>
            <w:tcBorders>
              <w:bottom w:val="dashed" w:sz="4" w:space="0" w:color="000000"/>
              <w:right w:val="single" w:sz="8"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r>
      <w:tr>
        <w:trPr>
          <w:trHeight w:val="394" w:hRule="atLeast"/>
        </w:trPr>
        <w:tc>
          <w:tcPr>
            <w:tcW w:w="1303" w:type="dxa"/>
            <w:tcBorders>
              <w:left w:val="single" w:sz="8" w:space="0" w:color="000000"/>
              <w:bottom w:val="dashed" w:sz="4"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2029</w:t>
            </w:r>
          </w:p>
        </w:tc>
        <w:tc>
          <w:tcPr>
            <w:tcW w:w="1030" w:type="dxa"/>
            <w:tcBorders>
              <w:bottom w:val="dashed"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8 235</w:t>
            </w:r>
          </w:p>
        </w:tc>
        <w:tc>
          <w:tcPr>
            <w:tcW w:w="1169" w:type="dxa"/>
            <w:tcBorders>
              <w:left w:val="single" w:sz="8" w:space="0" w:color="000000"/>
              <w:bottom w:val="dashed" w:sz="4" w:space="0" w:color="000000"/>
              <w:right w:val="single" w:sz="4"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w:t>
            </w:r>
          </w:p>
        </w:tc>
        <w:tc>
          <w:tcPr>
            <w:tcW w:w="933" w:type="dxa"/>
            <w:tcBorders>
              <w:bottom w:val="dashed" w:sz="4" w:space="0" w:color="000000"/>
              <w:right w:val="single" w:sz="8"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96</w:t>
            </w:r>
          </w:p>
        </w:tc>
        <w:tc>
          <w:tcPr>
            <w:tcW w:w="953"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w:t>
            </w:r>
          </w:p>
        </w:tc>
        <w:tc>
          <w:tcPr>
            <w:tcW w:w="960" w:type="dxa"/>
            <w:tcBorders>
              <w:bottom w:val="dashed"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72</w:t>
            </w:r>
          </w:p>
        </w:tc>
        <w:tc>
          <w:tcPr>
            <w:tcW w:w="979" w:type="dxa"/>
            <w:tcBorders>
              <w:top w:val="dashed" w:sz="4" w:space="0" w:color="000000"/>
              <w:bottom w:val="dashed" w:sz="4"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b/>
                <w:b/>
                <w:bCs/>
                <w:color w:val="FF0000"/>
                <w:lang w:eastAsia="pl-PL"/>
              </w:rPr>
            </w:pPr>
            <w:r>
              <w:rPr>
                <w:rFonts w:eastAsia="Times New Roman" w:cs="Calibri" w:cstheme="minorHAnsi"/>
                <w:b/>
                <w:bCs/>
                <w:color w:val="FF0000"/>
                <w:lang w:eastAsia="pl-PL"/>
              </w:rPr>
              <w:t>-12</w:t>
            </w:r>
          </w:p>
        </w:tc>
        <w:tc>
          <w:tcPr>
            <w:tcW w:w="1061" w:type="dxa"/>
            <w:tcBorders>
              <w:bottom w:val="dashed"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w:t>
            </w:r>
          </w:p>
        </w:tc>
        <w:tc>
          <w:tcPr>
            <w:tcW w:w="1118" w:type="dxa"/>
            <w:tcBorders>
              <w:bottom w:val="dashed" w:sz="4" w:space="0" w:color="000000"/>
              <w:right w:val="single" w:sz="8"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r>
      <w:tr>
        <w:trPr>
          <w:trHeight w:val="394" w:hRule="atLeast"/>
        </w:trPr>
        <w:tc>
          <w:tcPr>
            <w:tcW w:w="1303" w:type="dxa"/>
            <w:tcBorders>
              <w:left w:val="single" w:sz="8" w:space="0" w:color="000000"/>
              <w:bottom w:val="single" w:sz="8" w:space="0" w:color="000000"/>
              <w:right w:val="single" w:sz="4" w:space="0" w:color="000000"/>
            </w:tcBorders>
            <w:shd w:color="000000" w:fill="CCFF9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2030</w:t>
            </w:r>
          </w:p>
        </w:tc>
        <w:tc>
          <w:tcPr>
            <w:tcW w:w="1030" w:type="dxa"/>
            <w:tcBorders>
              <w:bottom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8 182</w:t>
            </w:r>
          </w:p>
        </w:tc>
        <w:tc>
          <w:tcPr>
            <w:tcW w:w="1169" w:type="dxa"/>
            <w:tcBorders>
              <w:left w:val="single" w:sz="8" w:space="0" w:color="000000"/>
              <w:bottom w:val="single" w:sz="8" w:space="0" w:color="000000"/>
              <w:right w:val="single" w:sz="4"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w:t>
            </w:r>
          </w:p>
        </w:tc>
        <w:tc>
          <w:tcPr>
            <w:tcW w:w="933" w:type="dxa"/>
            <w:tcBorders>
              <w:bottom w:val="single" w:sz="8" w:space="0" w:color="000000"/>
              <w:right w:val="single" w:sz="8" w:space="0" w:color="000000"/>
            </w:tcBorders>
            <w:shd w:color="000000" w:fill="FFFFCC"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96</w:t>
            </w:r>
          </w:p>
        </w:tc>
        <w:tc>
          <w:tcPr>
            <w:tcW w:w="95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w:t>
            </w:r>
          </w:p>
        </w:tc>
        <w:tc>
          <w:tcPr>
            <w:tcW w:w="96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71</w:t>
            </w:r>
          </w:p>
        </w:tc>
        <w:tc>
          <w:tcPr>
            <w:tcW w:w="979" w:type="dxa"/>
            <w:tcBorders>
              <w:top w:val="dashed" w:sz="4"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b/>
                <w:b/>
                <w:bCs/>
                <w:color w:val="FF0000"/>
                <w:lang w:eastAsia="pl-PL"/>
              </w:rPr>
            </w:pPr>
            <w:r>
              <w:rPr>
                <w:rFonts w:eastAsia="Times New Roman" w:cs="Calibri" w:cstheme="minorHAnsi"/>
                <w:b/>
                <w:bCs/>
                <w:color w:val="FF0000"/>
                <w:lang w:eastAsia="pl-PL"/>
              </w:rPr>
              <w:t>-11</w:t>
            </w:r>
          </w:p>
        </w:tc>
        <w:tc>
          <w:tcPr>
            <w:tcW w:w="1061" w:type="dxa"/>
            <w:tcBorders>
              <w:bottom w:val="single" w:sz="8"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w:t>
            </w:r>
          </w:p>
        </w:tc>
        <w:tc>
          <w:tcPr>
            <w:tcW w:w="1118" w:type="dxa"/>
            <w:tcBorders>
              <w:bottom w:val="single" w:sz="8" w:space="0" w:color="000000"/>
              <w:right w:val="single" w:sz="8" w:space="0" w:color="000000"/>
            </w:tcBorders>
            <w:shd w:color="000000" w:fill="F2F2F2"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w:t>
            </w:r>
          </w:p>
        </w:tc>
      </w:tr>
    </w:tbl>
    <w:p>
      <w:pPr>
        <w:pStyle w:val="Normal"/>
        <w:spacing w:lineRule="auto" w:line="240" w:before="0" w:after="0"/>
        <w:jc w:val="center"/>
        <w:rPr>
          <w:rFonts w:cs="Calibri" w:cstheme="minorHAnsi"/>
          <w:sz w:val="20"/>
          <w:szCs w:val="20"/>
        </w:rPr>
      </w:pPr>
      <w:bookmarkStart w:id="187" w:name="_Hlk118880727"/>
      <w:r>
        <w:rPr>
          <w:rFonts w:cs="Calibri" w:cstheme="minorHAnsi"/>
          <w:sz w:val="20"/>
          <w:szCs w:val="20"/>
        </w:rPr>
        <w:t>Źródło: Prognoza ludności gmin na lata 2017-2030 - tablice wojewódzkie</w:t>
      </w:r>
      <w:bookmarkEnd w:id="187"/>
    </w:p>
    <w:p>
      <w:pPr>
        <w:pStyle w:val="NoSpacing"/>
        <w:jc w:val="both"/>
        <w:rPr>
          <w:rFonts w:ascii="Calibri" w:hAnsi="Calibri" w:cs="Calibri" w:asciiTheme="minorHAnsi" w:cstheme="minorHAnsi" w:hAnsiTheme="minorHAnsi"/>
          <w:i/>
          <w:i/>
          <w:iCs/>
          <w:highlight w:val="yellow"/>
        </w:rPr>
      </w:pPr>
      <w:r>
        <w:rPr>
          <w:rFonts w:cs="Calibri" w:cstheme="minorHAnsi"/>
          <w:i/>
          <w:iCs/>
          <w:highlight w:val="yellow"/>
        </w:rPr>
      </w:r>
    </w:p>
    <w:p>
      <w:pPr>
        <w:pStyle w:val="Normal"/>
        <w:spacing w:lineRule="auto" w:line="240" w:before="0" w:after="0"/>
        <w:jc w:val="both"/>
        <w:rPr>
          <w:rFonts w:cs="Calibri" w:cstheme="minorHAnsi"/>
        </w:rPr>
      </w:pPr>
      <w:r>
        <w:rPr>
          <w:rFonts w:cs="Calibri" w:cstheme="minorHAnsi"/>
        </w:rPr>
        <w:t xml:space="preserve">Wszystkie powyższe zjawiska powinny zostać uwzględnione w dokumencie strategicznym, bowiem np. wzrost liczby osób w wieku poprodukcyjnym sugeruje potrzeby w zakresie infrastruktury społecznej, kulturalnej, a także w zakresie organizacji czasu wolnego seniorów np. poprzez działalność Klubów Seniora. </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 xml:space="preserve">Najważniejsze konsekwencje procesów demograficznych w gminie to: </w:t>
      </w:r>
    </w:p>
    <w:p>
      <w:pPr>
        <w:pStyle w:val="NoSpacing"/>
        <w:numPr>
          <w:ilvl w:val="0"/>
          <w:numId w:val="10"/>
        </w:numPr>
        <w:jc w:val="both"/>
        <w:rPr>
          <w:rFonts w:ascii="Calibri" w:hAnsi="Calibri" w:cs="Calibri" w:asciiTheme="minorHAnsi" w:cstheme="minorHAnsi" w:hAnsiTheme="minorHAnsi"/>
        </w:rPr>
      </w:pPr>
      <w:r>
        <w:rPr>
          <w:rFonts w:cs="Calibri" w:cstheme="minorHAnsi"/>
        </w:rPr>
        <w:t>spadek liczby urodzeń,</w:t>
      </w:r>
    </w:p>
    <w:p>
      <w:pPr>
        <w:pStyle w:val="NoSpacing"/>
        <w:numPr>
          <w:ilvl w:val="0"/>
          <w:numId w:val="10"/>
        </w:numPr>
        <w:jc w:val="both"/>
        <w:rPr>
          <w:rFonts w:ascii="Calibri" w:hAnsi="Calibri" w:cs="Calibri" w:asciiTheme="minorHAnsi" w:cstheme="minorHAnsi" w:hAnsiTheme="minorHAnsi"/>
        </w:rPr>
      </w:pPr>
      <w:r>
        <w:rPr>
          <w:rFonts w:cs="Calibri" w:cstheme="minorHAnsi"/>
        </w:rPr>
        <w:t>zwiększanie się udziału osób starszych w ogólnej liczbie ludności i rozwój zjawiska starzenia demograficznego (dodatkowo przyczyną starzenia demograficznego jest wydłużenie się okresu trwania życia ludzkiego, które bezpośrednio prowadzi do zwiększenia się udziału osób starszych w społeczeństwie),</w:t>
      </w:r>
    </w:p>
    <w:p>
      <w:pPr>
        <w:pStyle w:val="NoSpacing"/>
        <w:numPr>
          <w:ilvl w:val="0"/>
          <w:numId w:val="10"/>
        </w:numPr>
        <w:jc w:val="both"/>
        <w:rPr>
          <w:rFonts w:ascii="Calibri" w:hAnsi="Calibri" w:cs="Calibri" w:asciiTheme="minorHAnsi" w:cstheme="minorHAnsi" w:hAnsiTheme="minorHAnsi"/>
        </w:rPr>
      </w:pPr>
      <w:r>
        <w:rPr>
          <w:rFonts w:cs="Calibri" w:cstheme="minorHAnsi"/>
        </w:rPr>
        <w:t>istotny wpływ na sytuację demograficzną w gminie mają też procesy migracyjne, które prowadzą do znacznego zmniejszenia odsetka osób młodych w lokalnej społeczności.</w:t>
      </w:r>
    </w:p>
    <w:p>
      <w:pPr>
        <w:pStyle w:val="NoSpacing"/>
        <w:rPr>
          <w:rFonts w:ascii="Calibri" w:hAnsi="Calibri" w:cs="Calibri" w:asciiTheme="minorHAnsi" w:cstheme="minorHAnsi" w:hAnsiTheme="minorHAnsi"/>
          <w:color w:val="FF0000"/>
          <w:highlight w:val="yellow"/>
        </w:rPr>
      </w:pPr>
      <w:r>
        <w:rPr>
          <w:rFonts w:cs="Calibri" w:cstheme="minorHAnsi"/>
          <w:color w:val="FF0000"/>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188" w:name="_Toc118887777"/>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28</w:t>
      </w:r>
      <w:r>
        <w:rPr>
          <w:b w:val="false"/>
          <w:bCs w:val="false"/>
          <w:rFonts w:cs="Calibri"/>
        </w:rPr>
        <w:fldChar w:fldCharType="end"/>
      </w:r>
      <w:r>
        <w:rPr>
          <w:rFonts w:cs="Calibri" w:cstheme="minorHAnsi"/>
          <w:b w:val="false"/>
          <w:bCs w:val="false"/>
        </w:rPr>
        <w:t xml:space="preserve"> Podsumowanie struktury ludności Gminy Dwikozy wg ekonomicznych grup wiekowych</w:t>
      </w:r>
      <w:bookmarkEnd w:id="188"/>
      <w:r>
        <w:rPr>
          <w:rFonts w:cs="Calibri" w:cstheme="minorHAnsi"/>
          <w:b w:val="false"/>
          <w:bCs w:val="false"/>
        </w:rPr>
        <w:t xml:space="preserve"> </w:t>
      </w:r>
    </w:p>
    <w:p>
      <w:pPr>
        <w:pStyle w:val="Caption"/>
        <w:spacing w:lineRule="auto" w:line="240" w:before="0" w:after="0"/>
        <w:jc w:val="center"/>
        <w:rPr>
          <w:rFonts w:ascii="Calibri" w:hAnsi="Calibri" w:cs="Calibri" w:asciiTheme="minorHAnsi" w:cstheme="minorHAnsi" w:hAnsiTheme="minorHAnsi"/>
          <w:b w:val="false"/>
          <w:b w:val="false"/>
          <w:bCs w:val="false"/>
          <w:color w:val="FF0000"/>
        </w:rPr>
      </w:pPr>
      <w:r>
        <w:rPr>
          <w:rFonts w:cs="Calibri" w:cstheme="minorHAnsi"/>
          <w:b w:val="false"/>
          <w:bCs w:val="false"/>
        </w:rPr>
        <w:t>w roku 2015 i 2021</w:t>
      </w:r>
    </w:p>
    <w:tbl>
      <w:tblPr>
        <w:tblW w:w="693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667"/>
        <w:gridCol w:w="992"/>
        <w:gridCol w:w="1277"/>
      </w:tblGrid>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b/>
                <w:bCs/>
                <w:lang w:eastAsia="pl-PL"/>
              </w:rPr>
              <w:t>Wyszczególnienie</w:t>
            </w:r>
          </w:p>
        </w:tc>
        <w:tc>
          <w:tcPr>
            <w:tcW w:w="99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b/>
                <w:bCs/>
                <w:lang w:eastAsia="pl-PL"/>
              </w:rPr>
              <w:t>2015</w:t>
            </w:r>
          </w:p>
        </w:tc>
        <w:tc>
          <w:tcPr>
            <w:tcW w:w="127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b/>
                <w:bCs/>
                <w:lang w:eastAsia="pl-PL"/>
              </w:rPr>
              <w:t>2021</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Ogółem</w:t>
            </w:r>
          </w:p>
        </w:tc>
        <w:tc>
          <w:tcPr>
            <w:tcW w:w="99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8 793</w:t>
            </w:r>
          </w:p>
        </w:tc>
        <w:tc>
          <w:tcPr>
            <w:tcW w:w="127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8 577</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4 524</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4 333</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4 269</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4 244</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SPADEK/WZROST</w:t>
            </w:r>
          </w:p>
        </w:tc>
        <w:tc>
          <w:tcPr>
            <w:tcW w:w="22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-216</w:t>
            </w:r>
          </w:p>
        </w:tc>
      </w:tr>
      <w:tr>
        <w:trPr>
          <w:trHeight w:val="60" w:hRule="atLeast"/>
        </w:trPr>
        <w:tc>
          <w:tcPr>
            <w:tcW w:w="466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 xml:space="preserve">w wieku przedprodukcyjnym - 14 lat i mniej, </w:t>
              <w:br/>
              <w:t>w tym</w:t>
            </w:r>
          </w:p>
        </w:tc>
        <w:tc>
          <w:tcPr>
            <w:tcW w:w="99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1 136</w:t>
            </w:r>
          </w:p>
        </w:tc>
        <w:tc>
          <w:tcPr>
            <w:tcW w:w="127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1 111</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542</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545</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594</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566</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SPADEK/WZROST</w:t>
            </w:r>
          </w:p>
        </w:tc>
        <w:tc>
          <w:tcPr>
            <w:tcW w:w="22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-25</w:t>
            </w:r>
          </w:p>
        </w:tc>
      </w:tr>
      <w:tr>
        <w:trPr>
          <w:trHeight w:val="169" w:hRule="atLeast"/>
        </w:trPr>
        <w:tc>
          <w:tcPr>
            <w:tcW w:w="466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w wieku produkcyjnym: 15-59 lat kobiety, 15-64 lata mężczyźni w tym:</w:t>
            </w:r>
          </w:p>
        </w:tc>
        <w:tc>
          <w:tcPr>
            <w:tcW w:w="99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5 926</w:t>
            </w:r>
          </w:p>
        </w:tc>
        <w:tc>
          <w:tcPr>
            <w:tcW w:w="127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5 813</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2 682</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2 624</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3 244</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3 189</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SPADEK/WZROST</w:t>
            </w:r>
          </w:p>
        </w:tc>
        <w:tc>
          <w:tcPr>
            <w:tcW w:w="22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-113</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w wieku poprodukcyjnym, w tym:</w:t>
            </w:r>
          </w:p>
        </w:tc>
        <w:tc>
          <w:tcPr>
            <w:tcW w:w="99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1 851</w:t>
            </w:r>
          </w:p>
        </w:tc>
        <w:tc>
          <w:tcPr>
            <w:tcW w:w="127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2 062</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Kobiet</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1 352</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Mężczyzn</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551</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710</w:t>
            </w:r>
          </w:p>
        </w:tc>
      </w:tr>
      <w:tr>
        <w:trPr>
          <w:trHeight w:val="228" w:hRule="atLeast"/>
        </w:trPr>
        <w:tc>
          <w:tcPr>
            <w:tcW w:w="4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SPADEK/WZROST</w:t>
            </w:r>
          </w:p>
        </w:tc>
        <w:tc>
          <w:tcPr>
            <w:tcW w:w="22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211</w:t>
            </w:r>
          </w:p>
        </w:tc>
      </w:tr>
    </w:tbl>
    <w:p>
      <w:pPr>
        <w:pStyle w:val="NoSpacing"/>
        <w:jc w:val="center"/>
        <w:rPr>
          <w:rFonts w:ascii="Calibri" w:hAnsi="Calibri" w:eastAsia="Times New Roman" w:cs="Calibri" w:asciiTheme="minorHAnsi" w:cstheme="minorHAnsi" w:hAnsiTheme="minorHAnsi"/>
          <w:sz w:val="20"/>
          <w:szCs w:val="20"/>
          <w:lang w:eastAsia="pl-PL"/>
        </w:rPr>
      </w:pPr>
      <w:r>
        <w:rPr>
          <w:rFonts w:eastAsia="Times New Roman" w:cs="Calibri" w:cstheme="minorHAnsi"/>
          <w:sz w:val="20"/>
          <w:szCs w:val="20"/>
          <w:lang w:eastAsia="pl-PL"/>
        </w:rPr>
        <w:t>Źródło: opracowanie własne na podstawie danych Głównego Urzędu Statystycznego</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rPr>
      </w:pPr>
      <w:r>
        <w:rPr>
          <w:rFonts w:cs="Calibri" w:cstheme="minorHAnsi"/>
        </w:rPr>
        <w:t>Z analizy danych wynika że na przestrzeni ostatnich lat (2015/2021) odnotowano następujące zjawiska demograficzne:</w:t>
      </w:r>
    </w:p>
    <w:p>
      <w:pPr>
        <w:pStyle w:val="NoSpacing"/>
        <w:numPr>
          <w:ilvl w:val="0"/>
          <w:numId w:val="14"/>
        </w:numPr>
        <w:jc w:val="both"/>
        <w:rPr>
          <w:rFonts w:ascii="Calibri" w:hAnsi="Calibri" w:cs="Calibri" w:asciiTheme="minorHAnsi" w:cstheme="minorHAnsi" w:hAnsiTheme="minorHAnsi"/>
        </w:rPr>
      </w:pPr>
      <w:r>
        <w:rPr>
          <w:rFonts w:cs="Calibri" w:cstheme="minorHAnsi"/>
        </w:rPr>
        <w:t>ogólny spadek liczby ludności aż o 216 osób,</w:t>
      </w:r>
    </w:p>
    <w:p>
      <w:pPr>
        <w:pStyle w:val="NoSpacing"/>
        <w:numPr>
          <w:ilvl w:val="0"/>
          <w:numId w:val="14"/>
        </w:numPr>
        <w:jc w:val="both"/>
        <w:rPr>
          <w:rFonts w:ascii="Calibri" w:hAnsi="Calibri" w:cs="Calibri" w:asciiTheme="minorHAnsi" w:cstheme="minorHAnsi" w:hAnsiTheme="minorHAnsi"/>
        </w:rPr>
      </w:pPr>
      <w:r>
        <w:rPr>
          <w:rFonts w:cs="Calibri" w:cstheme="minorHAnsi"/>
        </w:rPr>
        <w:t>znaczny wzrost osób w wieku poprodukcyjnym (o 211 os., co świadczy o zjawisku starzenia się społeczeństwa),</w:t>
      </w:r>
    </w:p>
    <w:p>
      <w:pPr>
        <w:pStyle w:val="NoSpacing"/>
        <w:numPr>
          <w:ilvl w:val="0"/>
          <w:numId w:val="14"/>
        </w:numPr>
        <w:jc w:val="both"/>
        <w:rPr>
          <w:rFonts w:ascii="Calibri" w:hAnsi="Calibri" w:cs="Calibri" w:asciiTheme="minorHAnsi" w:cstheme="minorHAnsi" w:hAnsiTheme="minorHAnsi"/>
        </w:rPr>
      </w:pPr>
      <w:r>
        <w:rPr>
          <w:rFonts w:cs="Calibri" w:cstheme="minorHAnsi"/>
        </w:rPr>
        <w:t>znaczny spadek liczby ludności w wieku produkcyjnym (113 osób),</w:t>
      </w:r>
    </w:p>
    <w:p>
      <w:pPr>
        <w:pStyle w:val="NoSpacing"/>
        <w:numPr>
          <w:ilvl w:val="0"/>
          <w:numId w:val="14"/>
        </w:numPr>
        <w:jc w:val="both"/>
        <w:rPr>
          <w:rFonts w:ascii="Calibri" w:hAnsi="Calibri" w:cs="Calibri" w:asciiTheme="minorHAnsi" w:cstheme="minorHAnsi" w:hAnsiTheme="minorHAnsi"/>
        </w:rPr>
      </w:pPr>
      <w:r>
        <w:rPr>
          <w:rFonts w:cs="Calibri" w:cstheme="minorHAnsi"/>
        </w:rPr>
        <w:t xml:space="preserve">spadek ludności w wieku przedprodukcyjnym (o 25 osób). </w:t>
      </w:r>
    </w:p>
    <w:p>
      <w:pPr>
        <w:pStyle w:val="NoSpacing"/>
        <w:jc w:val="both"/>
        <w:rPr>
          <w:rFonts w:ascii="Calibri" w:hAnsi="Calibri" w:cs="Calibri" w:asciiTheme="minorHAnsi" w:cstheme="minorHAnsi" w:hAnsiTheme="minorHAnsi"/>
          <w:b/>
          <w:b/>
          <w:bCs/>
          <w:highlight w:val="yellow"/>
        </w:rPr>
      </w:pPr>
      <w:r>
        <w:rPr>
          <w:rFonts w:cs="Calibri" w:cstheme="minorHAnsi"/>
          <w:b/>
          <w:bCs/>
          <w:highlight w:val="yellow"/>
        </w:rPr>
      </w:r>
      <w:bookmarkStart w:id="189" w:name="_Toc69212061"/>
      <w:bookmarkStart w:id="190" w:name="_Toc69212061"/>
      <w:bookmarkEnd w:id="190"/>
    </w:p>
    <w:p>
      <w:pPr>
        <w:pStyle w:val="NoSpacing"/>
        <w:jc w:val="both"/>
        <w:rPr>
          <w:rFonts w:ascii="Calibri" w:hAnsi="Calibri" w:cs="Calibri" w:asciiTheme="minorHAnsi" w:cstheme="minorHAnsi" w:hAnsiTheme="minorHAnsi"/>
        </w:rPr>
      </w:pPr>
      <w:r>
        <w:rPr>
          <w:rFonts w:cs="Calibri" w:cstheme="minorHAnsi"/>
        </w:rPr>
        <w:t>Podsumowując diagnozę sytuacji demograficznej w Gminie Dwikozy wydaje się ona na dziś stabilna. Jednak perspektywy sugerują, że mieszkańców będzie ubywać, zwłaszcza w wieku przedprodukcyjnym i produkcyjnym, a przybywać będzie seniorów w wieku poprodukcyjnym, co jest zjawiskiem negatywnym. Szczególnie mocno mogą odczuć to zjawisko sołectwa o największej liczbie mieszkańców oraz najmniejsze, gdzie będzie narastał problem osób starszych i samotnych. Dlatego na obszarze całej gminy należy zadbać o to, aby zapewnić właściwe rozwiązania wspierające dla osób w wieku poprodukcyjnym, które z jednej strony umożliwią wykorzystanie potencjału i wiedzy tych osób, a drugiej pozwolą na godne starzenie się. Niżej wymienione sołectwa wydają się najbardziej zagrożone wyludnianiem się:</w:t>
      </w:r>
    </w:p>
    <w:p>
      <w:pPr>
        <w:pStyle w:val="NoSpacing"/>
        <w:rPr>
          <w:rFonts w:ascii="Calibri" w:hAnsi="Calibri" w:cs="Calibri" w:asciiTheme="minorHAnsi" w:cstheme="minorHAnsi" w:hAnsiTheme="minorHAnsi"/>
        </w:rPr>
      </w:pPr>
      <w:r>
        <w:rPr>
          <w:rFonts w:cs="Calibri" w:cstheme="minorHAnsi"/>
        </w:rPr>
      </w:r>
    </w:p>
    <w:p>
      <w:pPr>
        <w:pStyle w:val="NoSpacing"/>
        <w:jc w:val="center"/>
        <w:rPr>
          <w:rFonts w:ascii="Calibri" w:hAnsi="Calibri" w:cs="Calibri" w:asciiTheme="minorHAnsi" w:cstheme="minorHAnsi" w:hAnsiTheme="minorHAnsi"/>
          <w:sz w:val="20"/>
          <w:szCs w:val="20"/>
        </w:rPr>
      </w:pPr>
      <w:bookmarkStart w:id="191" w:name="_Toc118887778"/>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29</w:t>
      </w:r>
      <w:r>
        <w:rPr>
          <w:sz w:val="20"/>
          <w:szCs w:val="20"/>
          <w:rFonts w:cs="Calibri"/>
        </w:rPr>
        <w:fldChar w:fldCharType="end"/>
      </w:r>
      <w:r>
        <w:rPr>
          <w:rFonts w:cs="Calibri" w:cstheme="minorHAnsi"/>
          <w:sz w:val="20"/>
          <w:szCs w:val="20"/>
        </w:rPr>
        <w:t xml:space="preserve"> Miejscowości z liczbą mieszkańców poniżej 100 wg stanu na 31.12.2021r.</w:t>
      </w:r>
      <w:bookmarkEnd w:id="191"/>
    </w:p>
    <w:tbl>
      <w:tblPr>
        <w:tblW w:w="6523" w:type="dxa"/>
        <w:jc w:val="center"/>
        <w:tblInd w:w="0" w:type="dxa"/>
        <w:tblLayout w:type="fixed"/>
        <w:tblCellMar>
          <w:top w:w="0" w:type="dxa"/>
          <w:left w:w="70" w:type="dxa"/>
          <w:bottom w:w="0" w:type="dxa"/>
          <w:right w:w="70" w:type="dxa"/>
        </w:tblCellMar>
        <w:tblLook w:firstRow="0" w:noVBand="0" w:lastRow="0" w:firstColumn="0" w:lastColumn="0" w:noHBand="0" w:val="0000"/>
      </w:tblPr>
      <w:tblGrid>
        <w:gridCol w:w="1016"/>
        <w:gridCol w:w="3306"/>
        <w:gridCol w:w="2201"/>
      </w:tblGrid>
      <w:tr>
        <w:trPr>
          <w:trHeight w:val="300" w:hRule="atLeast"/>
        </w:trPr>
        <w:tc>
          <w:tcPr>
            <w:tcW w:w="101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L.p.</w:t>
            </w:r>
          </w:p>
        </w:tc>
        <w:tc>
          <w:tcPr>
            <w:tcW w:w="330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Sołectwo</w:t>
            </w:r>
          </w:p>
        </w:tc>
        <w:tc>
          <w:tcPr>
            <w:tcW w:w="2201"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Liczba mieszkańców</w:t>
            </w:r>
          </w:p>
        </w:tc>
      </w:tr>
      <w:tr>
        <w:trPr>
          <w:trHeight w:val="300" w:hRule="atLeast"/>
        </w:trPr>
        <w:tc>
          <w:tcPr>
            <w:tcW w:w="10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1.</w:t>
            </w:r>
          </w:p>
        </w:tc>
        <w:tc>
          <w:tcPr>
            <w:tcW w:w="33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Buczek</w:t>
            </w:r>
          </w:p>
        </w:tc>
        <w:tc>
          <w:tcPr>
            <w:tcW w:w="22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color w:val="00000A"/>
              </w:rPr>
              <w:t>58</w:t>
            </w:r>
          </w:p>
        </w:tc>
      </w:tr>
      <w:tr>
        <w:trPr>
          <w:trHeight w:val="300" w:hRule="atLeast"/>
        </w:trPr>
        <w:tc>
          <w:tcPr>
            <w:tcW w:w="101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2.</w:t>
            </w:r>
          </w:p>
        </w:tc>
        <w:tc>
          <w:tcPr>
            <w:tcW w:w="330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Kępa Chwałowska</w:t>
            </w:r>
          </w:p>
        </w:tc>
        <w:tc>
          <w:tcPr>
            <w:tcW w:w="220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color w:val="00000A"/>
              </w:rPr>
              <w:t>82</w:t>
            </w:r>
          </w:p>
        </w:tc>
      </w:tr>
      <w:tr>
        <w:trPr>
          <w:trHeight w:val="300" w:hRule="atLeast"/>
        </w:trPr>
        <w:tc>
          <w:tcPr>
            <w:tcW w:w="10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3.</w:t>
            </w:r>
          </w:p>
        </w:tc>
        <w:tc>
          <w:tcPr>
            <w:tcW w:w="33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Kolonia Gałkowice</w:t>
            </w:r>
          </w:p>
        </w:tc>
        <w:tc>
          <w:tcPr>
            <w:tcW w:w="22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A"/>
              </w:rPr>
            </w:pPr>
            <w:r>
              <w:rPr>
                <w:rFonts w:eastAsia="Calibri" w:cs="Calibri" w:cstheme="minorHAnsi"/>
                <w:color w:val="00000A"/>
              </w:rPr>
              <w:t>67</w:t>
            </w:r>
          </w:p>
        </w:tc>
      </w:tr>
    </w:tbl>
    <w:p>
      <w:pPr>
        <w:pStyle w:val="NoSpacing"/>
        <w:jc w:val="center"/>
        <w:rPr>
          <w:rFonts w:ascii="Calibri" w:hAnsi="Calibri" w:cs="Calibri" w:asciiTheme="minorHAnsi" w:cstheme="minorHAnsi" w:hAnsiTheme="minorHAnsi"/>
          <w:color w:val="000000" w:themeColor="text1"/>
          <w:sz w:val="20"/>
          <w:szCs w:val="20"/>
        </w:rPr>
      </w:pPr>
      <w:r>
        <w:rPr>
          <w:rFonts w:cs="Calibri" w:cstheme="minorHAnsi"/>
          <w:color w:val="000000" w:themeColor="text1"/>
          <w:sz w:val="20"/>
          <w:szCs w:val="20"/>
        </w:rPr>
        <w:t>Źródło: opracowanie własne na podstawie danych Urzędu Gminy w Dwikozach</w:t>
      </w:r>
    </w:p>
    <w:p>
      <w:pPr>
        <w:pStyle w:val="NoSpacing"/>
        <w:jc w:val="center"/>
        <w:rPr>
          <w:rFonts w:ascii="Calibri" w:hAnsi="Calibri" w:cs="Calibri" w:asciiTheme="minorHAnsi" w:cstheme="minorHAnsi" w:hAnsiTheme="minorHAnsi"/>
          <w:highlight w:val="yellow"/>
        </w:rPr>
      </w:pPr>
      <w:r>
        <w:rPr>
          <w:rFonts w:cs="Calibri" w:cstheme="minorHAnsi"/>
          <w:highlight w:val="yellow"/>
        </w:rPr>
      </w:r>
    </w:p>
    <w:p>
      <w:pPr>
        <w:pStyle w:val="Nagwek2"/>
        <w:numPr>
          <w:ilvl w:val="1"/>
          <w:numId w:val="1"/>
        </w:numPr>
        <w:spacing w:lineRule="auto" w:line="240" w:before="0" w:after="0"/>
        <w:ind w:left="426" w:hanging="432"/>
        <w:rPr>
          <w:rFonts w:ascii="Calibri" w:hAnsi="Calibri" w:cs="Calibri" w:asciiTheme="minorHAnsi" w:cstheme="minorHAnsi" w:hAnsiTheme="minorHAnsi"/>
          <w:i w:val="false"/>
          <w:i w:val="false"/>
          <w:iCs w:val="false"/>
          <w:sz w:val="32"/>
          <w:szCs w:val="32"/>
        </w:rPr>
      </w:pPr>
      <w:bookmarkStart w:id="192" w:name="_Toc69212071"/>
      <w:bookmarkStart w:id="193" w:name="_Toc69212090"/>
      <w:r>
        <w:rPr>
          <w:rFonts w:cs="Calibri" w:ascii="Calibri" w:hAnsi="Calibri" w:asciiTheme="minorHAnsi" w:cstheme="minorHAnsi" w:hAnsiTheme="minorHAnsi"/>
          <w:i w:val="false"/>
          <w:iCs w:val="false"/>
        </w:rPr>
        <w:t xml:space="preserve"> </w:t>
      </w:r>
      <w:bookmarkStart w:id="194" w:name="_Toc118887466"/>
      <w:r>
        <w:rPr>
          <w:rFonts w:cs="Calibri" w:ascii="Calibri" w:hAnsi="Calibri" w:asciiTheme="minorHAnsi" w:cstheme="minorHAnsi" w:hAnsiTheme="minorHAnsi"/>
          <w:i w:val="false"/>
          <w:iCs w:val="false"/>
        </w:rPr>
        <w:t>Pomoc społeczna</w:t>
      </w:r>
      <w:bookmarkEnd w:id="193"/>
      <w:bookmarkEnd w:id="194"/>
      <w:r>
        <w:rPr>
          <w:rFonts w:cs="Calibri" w:ascii="Calibri" w:hAnsi="Calibri" w:asciiTheme="minorHAnsi" w:cstheme="minorHAnsi" w:hAnsiTheme="minorHAnsi"/>
          <w:i w:val="false"/>
          <w:iCs w:val="false"/>
        </w:rPr>
        <w:t xml:space="preserve"> </w:t>
      </w:r>
    </w:p>
    <w:p>
      <w:pPr>
        <w:pStyle w:val="NoSpacing"/>
        <w:jc w:val="both"/>
        <w:rPr>
          <w:rFonts w:ascii="Calibri" w:hAnsi="Calibri" w:cs="Calibri" w:asciiTheme="minorHAnsi" w:cstheme="minorHAnsi" w:hAnsiTheme="minorHAnsi"/>
          <w:sz w:val="10"/>
          <w:szCs w:val="10"/>
          <w:highlight w:val="yellow"/>
        </w:rPr>
      </w:pPr>
      <w:r>
        <w:rPr>
          <w:rFonts w:cs="Calibri" w:cstheme="minorHAnsi"/>
          <w:sz w:val="10"/>
          <w:szCs w:val="10"/>
          <w:highlight w:val="yellow"/>
        </w:rPr>
      </w:r>
    </w:p>
    <w:p>
      <w:pPr>
        <w:pStyle w:val="NoSpacing"/>
        <w:jc w:val="both"/>
        <w:rPr>
          <w:rFonts w:ascii="Calibri" w:hAnsi="Calibri" w:cs="Calibri" w:asciiTheme="minorHAnsi" w:cstheme="minorHAnsi" w:hAnsiTheme="minorHAnsi"/>
        </w:rPr>
      </w:pPr>
      <w:r>
        <w:rPr>
          <w:rFonts w:cs="Calibri" w:cstheme="minorHAnsi"/>
        </w:rPr>
        <w:t xml:space="preserve">Zadania z zakresu pomocy społecznej realizowane są na terenie gminy przez Ośrodek Pomocy Społecznej (OPS) w Dwikozach. OPS jest wyodrębnioną jednostką organizacyjną Gminy Dwikozy, realizującą zadania pomocy społecznej. Zakres działania Ośrodka określony jest szczegółowo </w:t>
        <w:br/>
        <w:t>w jego Statucie stanowiącym załącznik do uchwały nr VI/33/2019 Rady Gminy w Dwikozach z dnia 20 marca 2019 r. Pracę Ośrodka reguluje ustawa o pomocy społecznej z dnia 12 marca 2004 r. (t.j. Dz. U. z 2018 r. poz. 1508 z późn. zm.) oraz akty wykonawcze do tej ustawy.</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Ośrodek realizuje zadania zlecone i zadania własne gminy z zakresu pomocy społecznej, m.in.:</w:t>
      </w:r>
    </w:p>
    <w:p>
      <w:pPr>
        <w:pStyle w:val="NoSpacing"/>
        <w:numPr>
          <w:ilvl w:val="0"/>
          <w:numId w:val="64"/>
        </w:numPr>
        <w:jc w:val="both"/>
        <w:rPr>
          <w:rFonts w:ascii="Calibri" w:hAnsi="Calibri" w:cs="Calibri" w:asciiTheme="minorHAnsi" w:cstheme="minorHAnsi" w:hAnsiTheme="minorHAnsi"/>
        </w:rPr>
      </w:pPr>
      <w:r>
        <w:rPr>
          <w:rFonts w:cs="Calibri" w:cstheme="minorHAnsi"/>
        </w:rPr>
        <w:t>przyznawanie i wypłacanie zasiłków specjalnych celowych,</w:t>
      </w:r>
    </w:p>
    <w:p>
      <w:pPr>
        <w:pStyle w:val="NoSpacing"/>
        <w:numPr>
          <w:ilvl w:val="0"/>
          <w:numId w:val="64"/>
        </w:numPr>
        <w:jc w:val="both"/>
        <w:rPr>
          <w:rFonts w:ascii="Calibri" w:hAnsi="Calibri" w:cs="Calibri" w:asciiTheme="minorHAnsi" w:cstheme="minorHAnsi" w:hAnsiTheme="minorHAnsi"/>
        </w:rPr>
      </w:pPr>
      <w:r>
        <w:rPr>
          <w:rFonts w:cs="Calibri" w:cstheme="minorHAnsi"/>
        </w:rPr>
        <w:t>przyznawanie i wypłacanie pomocy na ekonomiczne usamodzielnienie w formie zasiłków, pożyczek oraz pomocy w naturze,</w:t>
      </w:r>
    </w:p>
    <w:p>
      <w:pPr>
        <w:pStyle w:val="NoSpacing"/>
        <w:numPr>
          <w:ilvl w:val="0"/>
          <w:numId w:val="64"/>
        </w:numPr>
        <w:jc w:val="both"/>
        <w:rPr>
          <w:rFonts w:ascii="Calibri" w:hAnsi="Calibri" w:cs="Calibri" w:asciiTheme="minorHAnsi" w:cstheme="minorHAnsi" w:hAnsiTheme="minorHAnsi"/>
        </w:rPr>
      </w:pPr>
      <w:r>
        <w:rPr>
          <w:rFonts w:cs="Calibri" w:cstheme="minorHAnsi"/>
        </w:rPr>
        <w:t xml:space="preserve">prowadzenie i zapewnienie miejsc w domach pomocy społecznej i ośrodkach wsparcia </w:t>
        <w:br/>
        <w:t>o zasięgu gminnym oraz kierowanie do nich osób wymagających opieki,</w:t>
      </w:r>
    </w:p>
    <w:p>
      <w:pPr>
        <w:pStyle w:val="NoSpacing"/>
        <w:numPr>
          <w:ilvl w:val="0"/>
          <w:numId w:val="64"/>
        </w:numPr>
        <w:jc w:val="both"/>
        <w:rPr>
          <w:rFonts w:ascii="Calibri" w:hAnsi="Calibri" w:cs="Calibri" w:asciiTheme="minorHAnsi" w:cstheme="minorHAnsi" w:hAnsiTheme="minorHAnsi"/>
        </w:rPr>
      </w:pPr>
      <w:r>
        <w:rPr>
          <w:rFonts w:cs="Calibri" w:cstheme="minorHAnsi"/>
        </w:rPr>
        <w:t>podejmowanie innych zadań z zakresu pomocy społecznej wynikających z rozeznanych potrzeb gminy, w tym tworzenie i realizacja programów osłonowych,</w:t>
      </w:r>
    </w:p>
    <w:p>
      <w:pPr>
        <w:pStyle w:val="NoSpacing"/>
        <w:numPr>
          <w:ilvl w:val="0"/>
          <w:numId w:val="64"/>
        </w:numPr>
        <w:jc w:val="both"/>
        <w:rPr>
          <w:rFonts w:ascii="Calibri" w:hAnsi="Calibri" w:cs="Calibri" w:asciiTheme="minorHAnsi" w:cstheme="minorHAnsi" w:hAnsiTheme="minorHAnsi"/>
        </w:rPr>
      </w:pPr>
      <w:r>
        <w:rPr>
          <w:rFonts w:cs="Calibri" w:cstheme="minorHAnsi"/>
        </w:rPr>
        <w:t>opracowanie i realizacja projektów socjalnych.</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Najczęstszą przyczyną korzystania z pomocy ośrodka w 2021r. było bezrobocie oraz niepełnosprawność.  Główne 3 powody przyznawania pomocy nie uległy zmianie na przestrzeni lat.</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center"/>
        <w:rPr>
          <w:rFonts w:ascii="Calibri" w:hAnsi="Calibri" w:cs="Calibri" w:asciiTheme="minorHAnsi" w:cstheme="minorHAnsi" w:hAnsiTheme="minorHAnsi"/>
          <w:sz w:val="20"/>
          <w:szCs w:val="20"/>
        </w:rPr>
      </w:pPr>
      <w:bookmarkStart w:id="195" w:name="_Toc118887779"/>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30</w:t>
      </w:r>
      <w:r>
        <w:rPr>
          <w:sz w:val="20"/>
          <w:szCs w:val="20"/>
          <w:rFonts w:cs="Calibri"/>
        </w:rPr>
        <w:fldChar w:fldCharType="end"/>
      </w:r>
      <w:r>
        <w:rPr>
          <w:rFonts w:cs="Calibri" w:cstheme="minorHAnsi"/>
          <w:sz w:val="20"/>
          <w:szCs w:val="20"/>
        </w:rPr>
        <w:t xml:space="preserve"> Powody przyznawania pomocy społecznej przez OPS w Dwikozach w 2017 i 2021r.</w:t>
      </w:r>
      <w:bookmarkEnd w:id="195"/>
    </w:p>
    <w:tbl>
      <w:tblPr>
        <w:tblW w:w="953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185"/>
        <w:gridCol w:w="1275"/>
        <w:gridCol w:w="1417"/>
        <w:gridCol w:w="1277"/>
        <w:gridCol w:w="1380"/>
      </w:tblGrid>
      <w:tr>
        <w:trPr>
          <w:trHeight w:val="300" w:hRule="atLeast"/>
        </w:trPr>
        <w:tc>
          <w:tcPr>
            <w:tcW w:w="4185" w:type="dxa"/>
            <w:vMerge w:val="restart"/>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bookmarkStart w:id="196" w:name="_Hlk118561705"/>
            <w:r>
              <w:rPr>
                <w:rFonts w:eastAsia="Times New Roman" w:cs="Calibri" w:cstheme="minorHAnsi"/>
                <w:b/>
                <w:bCs/>
                <w:color w:val="000000"/>
                <w:lang w:eastAsia="pl-PL"/>
              </w:rPr>
              <w:t>Wyszczególnienie</w:t>
            </w:r>
          </w:p>
        </w:tc>
        <w:tc>
          <w:tcPr>
            <w:tcW w:w="2692" w:type="dxa"/>
            <w:gridSpan w:val="2"/>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2017</w:t>
            </w:r>
          </w:p>
        </w:tc>
        <w:tc>
          <w:tcPr>
            <w:tcW w:w="2657" w:type="dxa"/>
            <w:gridSpan w:val="2"/>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2021</w:t>
            </w:r>
          </w:p>
        </w:tc>
      </w:tr>
      <w:tr>
        <w:trPr>
          <w:trHeight w:val="300" w:hRule="atLeast"/>
        </w:trPr>
        <w:tc>
          <w:tcPr>
            <w:tcW w:w="4185" w:type="dxa"/>
            <w:vMerge w:val="continue"/>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rPr>
                <w:rFonts w:eastAsia="Times New Roman" w:cs="Calibri" w:cstheme="minorHAnsi"/>
                <w:b/>
                <w:b/>
                <w:bCs/>
                <w:color w:val="000000"/>
                <w:lang w:eastAsia="pl-PL"/>
              </w:rPr>
            </w:pPr>
            <w:r>
              <w:rPr>
                <w:rFonts w:eastAsia="Times New Roman" w:cs="Calibri" w:cstheme="minorHAnsi"/>
                <w:b/>
                <w:bCs/>
                <w:color w:val="000000"/>
                <w:lang w:eastAsia="pl-PL"/>
              </w:rPr>
            </w:r>
          </w:p>
        </w:tc>
        <w:tc>
          <w:tcPr>
            <w:tcW w:w="1275"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Liczba osób</w:t>
            </w:r>
          </w:p>
        </w:tc>
        <w:tc>
          <w:tcPr>
            <w:tcW w:w="141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Liczba rodzin</w:t>
            </w:r>
          </w:p>
        </w:tc>
        <w:tc>
          <w:tcPr>
            <w:tcW w:w="127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Liczba osób</w:t>
            </w:r>
          </w:p>
        </w:tc>
        <w:tc>
          <w:tcPr>
            <w:tcW w:w="1380"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eastAsia="pl-PL"/>
              </w:rPr>
            </w:pPr>
            <w:r>
              <w:rPr>
                <w:rFonts w:eastAsia="Times New Roman" w:cs="Calibri" w:cstheme="minorHAnsi"/>
                <w:b/>
                <w:bCs/>
                <w:color w:val="000000"/>
                <w:lang w:eastAsia="pl-PL"/>
              </w:rPr>
              <w:t>Liczba rodzin</w:t>
            </w:r>
          </w:p>
        </w:tc>
      </w:tr>
      <w:tr>
        <w:trPr>
          <w:trHeight w:val="300" w:hRule="atLeast"/>
        </w:trPr>
        <w:tc>
          <w:tcPr>
            <w:tcW w:w="41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Bezrobocie</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194</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72</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127</w:t>
            </w:r>
          </w:p>
        </w:tc>
        <w:tc>
          <w:tcPr>
            <w:tcW w:w="13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52</w:t>
            </w:r>
          </w:p>
        </w:tc>
      </w:tr>
      <w:tr>
        <w:trPr>
          <w:trHeight w:val="300" w:hRule="atLeast"/>
        </w:trPr>
        <w:tc>
          <w:tcPr>
            <w:tcW w:w="418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Ubóstwo</w:t>
            </w:r>
          </w:p>
        </w:tc>
        <w:tc>
          <w:tcPr>
            <w:tcW w:w="12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131</w:t>
            </w:r>
          </w:p>
        </w:tc>
        <w:tc>
          <w:tcPr>
            <w:tcW w:w="141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54</w:t>
            </w:r>
          </w:p>
        </w:tc>
        <w:tc>
          <w:tcPr>
            <w:tcW w:w="127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72</w:t>
            </w:r>
          </w:p>
        </w:tc>
        <w:tc>
          <w:tcPr>
            <w:tcW w:w="138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33</w:t>
            </w:r>
          </w:p>
        </w:tc>
      </w:tr>
      <w:tr>
        <w:trPr>
          <w:trHeight w:val="300" w:hRule="atLeast"/>
        </w:trPr>
        <w:tc>
          <w:tcPr>
            <w:tcW w:w="4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Niepełnosprawność</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168</w:t>
            </w:r>
          </w:p>
        </w:tc>
        <w:tc>
          <w:tcPr>
            <w:tcW w:w="14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87</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120</w:t>
            </w:r>
          </w:p>
        </w:tc>
        <w:tc>
          <w:tcPr>
            <w:tcW w:w="13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87</w:t>
            </w:r>
          </w:p>
        </w:tc>
      </w:tr>
      <w:tr>
        <w:trPr>
          <w:trHeight w:val="300" w:hRule="atLeast"/>
        </w:trPr>
        <w:tc>
          <w:tcPr>
            <w:tcW w:w="418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Długotrwała lub ciężka choroba</w:t>
            </w:r>
          </w:p>
        </w:tc>
        <w:tc>
          <w:tcPr>
            <w:tcW w:w="12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108</w:t>
            </w:r>
          </w:p>
        </w:tc>
        <w:tc>
          <w:tcPr>
            <w:tcW w:w="141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58</w:t>
            </w:r>
          </w:p>
        </w:tc>
        <w:tc>
          <w:tcPr>
            <w:tcW w:w="127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55</w:t>
            </w:r>
          </w:p>
        </w:tc>
        <w:tc>
          <w:tcPr>
            <w:tcW w:w="138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33</w:t>
            </w:r>
          </w:p>
        </w:tc>
      </w:tr>
      <w:tr>
        <w:trPr>
          <w:trHeight w:val="300" w:hRule="atLeast"/>
        </w:trPr>
        <w:tc>
          <w:tcPr>
            <w:tcW w:w="4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Przemoc</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4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3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r>
      <w:tr>
        <w:trPr>
          <w:trHeight w:val="600" w:hRule="atLeast"/>
        </w:trPr>
        <w:tc>
          <w:tcPr>
            <w:tcW w:w="418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Bezradność w sprawach opiekuńczo-wychowawczych w tym: rodziny niepełne, rodziny wielodzietne</w:t>
            </w:r>
          </w:p>
        </w:tc>
        <w:tc>
          <w:tcPr>
            <w:tcW w:w="12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16</w:t>
            </w:r>
          </w:p>
        </w:tc>
        <w:tc>
          <w:tcPr>
            <w:tcW w:w="141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4</w:t>
            </w:r>
          </w:p>
        </w:tc>
        <w:tc>
          <w:tcPr>
            <w:tcW w:w="127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w:t>
            </w:r>
          </w:p>
        </w:tc>
        <w:tc>
          <w:tcPr>
            <w:tcW w:w="138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w:t>
            </w:r>
          </w:p>
        </w:tc>
      </w:tr>
      <w:tr>
        <w:trPr>
          <w:trHeight w:val="300" w:hRule="atLeast"/>
        </w:trPr>
        <w:tc>
          <w:tcPr>
            <w:tcW w:w="4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Trudności po opuszczeniu zakładów karnych</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4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w:t>
            </w:r>
          </w:p>
        </w:tc>
        <w:tc>
          <w:tcPr>
            <w:tcW w:w="13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w:t>
            </w:r>
          </w:p>
        </w:tc>
      </w:tr>
      <w:tr>
        <w:trPr>
          <w:trHeight w:val="300" w:hRule="atLeast"/>
        </w:trPr>
        <w:tc>
          <w:tcPr>
            <w:tcW w:w="418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Alkoholizm</w:t>
            </w:r>
          </w:p>
        </w:tc>
        <w:tc>
          <w:tcPr>
            <w:tcW w:w="12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4</w:t>
            </w:r>
          </w:p>
        </w:tc>
        <w:tc>
          <w:tcPr>
            <w:tcW w:w="141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4</w:t>
            </w:r>
          </w:p>
        </w:tc>
        <w:tc>
          <w:tcPr>
            <w:tcW w:w="127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w:t>
            </w:r>
          </w:p>
        </w:tc>
        <w:tc>
          <w:tcPr>
            <w:tcW w:w="138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w:t>
            </w:r>
          </w:p>
        </w:tc>
      </w:tr>
      <w:tr>
        <w:trPr>
          <w:trHeight w:val="300" w:hRule="atLeast"/>
        </w:trPr>
        <w:tc>
          <w:tcPr>
            <w:tcW w:w="4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Sytuacja kryzysowa</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4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w:t>
            </w:r>
          </w:p>
        </w:tc>
        <w:tc>
          <w:tcPr>
            <w:tcW w:w="13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3</w:t>
            </w:r>
          </w:p>
        </w:tc>
      </w:tr>
      <w:tr>
        <w:trPr>
          <w:trHeight w:val="300" w:hRule="atLeast"/>
        </w:trPr>
        <w:tc>
          <w:tcPr>
            <w:tcW w:w="418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Zdarzenia losowe</w:t>
            </w:r>
          </w:p>
        </w:tc>
        <w:tc>
          <w:tcPr>
            <w:tcW w:w="1275"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w:t>
            </w:r>
          </w:p>
        </w:tc>
        <w:tc>
          <w:tcPr>
            <w:tcW w:w="141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1</w:t>
            </w:r>
          </w:p>
        </w:tc>
        <w:tc>
          <w:tcPr>
            <w:tcW w:w="1277"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0</w:t>
            </w:r>
          </w:p>
        </w:tc>
        <w:tc>
          <w:tcPr>
            <w:tcW w:w="138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bookmarkStart w:id="197" w:name="_Hlk118561705"/>
            <w:r>
              <w:rPr>
                <w:rFonts w:cs="Calibri" w:cstheme="minorHAnsi"/>
                <w:color w:val="000000"/>
              </w:rPr>
              <w:t>0</w:t>
            </w:r>
            <w:bookmarkEnd w:id="197"/>
          </w:p>
        </w:tc>
      </w:tr>
    </w:tbl>
    <w:p>
      <w:pPr>
        <w:pStyle w:val="NoSpacing"/>
        <w:jc w:val="center"/>
        <w:rPr>
          <w:rFonts w:ascii="Calibri" w:hAnsi="Calibri" w:eastAsia="Times New Roman" w:cs="Calibri" w:asciiTheme="minorHAnsi" w:cstheme="minorHAnsi" w:hAnsiTheme="minorHAnsi"/>
          <w:iCs/>
          <w:sz w:val="20"/>
          <w:szCs w:val="20"/>
        </w:rPr>
      </w:pPr>
      <w:r>
        <w:rPr>
          <w:rFonts w:eastAsia="Times New Roman" w:cs="Calibri" w:cstheme="minorHAnsi"/>
          <w:iCs/>
          <w:sz w:val="20"/>
          <w:szCs w:val="20"/>
        </w:rPr>
        <w:t>Źródło: dane OPS w Dwikozach</w:t>
      </w:r>
    </w:p>
    <w:p>
      <w:pPr>
        <w:pStyle w:val="NoSpacing"/>
        <w:rPr>
          <w:rFonts w:ascii="Calibri" w:hAnsi="Calibri" w:cs="Calibri" w:asciiTheme="minorHAnsi" w:cstheme="minorHAnsi" w:hAnsiTheme="minorHAnsi"/>
          <w:i/>
          <w:i/>
          <w:highlight w:val="yellow"/>
        </w:rPr>
      </w:pPr>
      <w:r>
        <w:rPr>
          <w:rFonts w:cs="Calibri" w:cstheme="minorHAnsi"/>
          <w:i/>
          <w:highlight w:val="yellow"/>
        </w:rPr>
      </w:r>
      <w:bookmarkStart w:id="198" w:name="_Hlk80191068"/>
      <w:bookmarkStart w:id="199" w:name="_Hlk80191068"/>
      <w:bookmarkEnd w:id="199"/>
    </w:p>
    <w:p>
      <w:pPr>
        <w:pStyle w:val="NoSpacing"/>
        <w:jc w:val="both"/>
        <w:rPr>
          <w:rFonts w:ascii="Calibri" w:hAnsi="Calibri" w:cs="Calibri" w:asciiTheme="minorHAnsi" w:cstheme="minorHAnsi" w:hAnsiTheme="minorHAnsi"/>
        </w:rPr>
      </w:pPr>
      <w:r>
        <w:rPr>
          <w:rFonts w:cs="Calibri" w:cstheme="minorHAnsi"/>
        </w:rPr>
        <w:t>Potrzeby gminy w obszarze pomocy społecznej:</w:t>
      </w:r>
    </w:p>
    <w:p>
      <w:pPr>
        <w:pStyle w:val="Normal"/>
        <w:spacing w:lineRule="auto" w:line="240" w:before="0" w:after="0"/>
        <w:jc w:val="both"/>
        <w:rPr>
          <w:rFonts w:ascii="Calibri" w:hAnsi="Calibri" w:eastAsia="Times New Roman" w:cs="Calibri"/>
          <w:color w:val="000000"/>
          <w:lang w:eastAsia="pl-PL"/>
        </w:rPr>
      </w:pPr>
      <w:bookmarkStart w:id="200" w:name="_Hlk80191068"/>
      <w:bookmarkStart w:id="201" w:name="_Toc69212091"/>
      <w:bookmarkEnd w:id="200"/>
      <w:r>
        <w:rPr>
          <w:rFonts w:eastAsia="Times New Roman" w:cs="Calibri"/>
          <w:color w:val="000000"/>
          <w:lang w:eastAsia="pl-PL"/>
        </w:rPr>
        <w:t>1. Tworzenie i rozwój świetlic środowiskowych jako elementu pomocy rodzinom w codziennym funkcjonowaniu.</w:t>
      </w:r>
    </w:p>
    <w:p>
      <w:pPr>
        <w:pStyle w:val="Normal"/>
        <w:spacing w:lineRule="auto" w:line="240" w:before="0" w:after="0"/>
        <w:jc w:val="both"/>
        <w:rPr>
          <w:rFonts w:ascii="Calibri" w:hAnsi="Calibri" w:eastAsia="Times New Roman" w:cs="Calibri"/>
          <w:color w:val="000000"/>
          <w:lang w:eastAsia="pl-PL"/>
        </w:rPr>
      </w:pPr>
      <w:r>
        <w:rPr>
          <w:rFonts w:eastAsia="Calibri" w:cs="Calibri"/>
          <w:color w:val="000000"/>
          <w:lang w:eastAsia="pl-PL"/>
        </w:rPr>
        <w:t xml:space="preserve">2. </w:t>
      </w:r>
      <w:r>
        <w:rPr>
          <w:rFonts w:eastAsia="Times New Roman" w:cs="Calibri"/>
          <w:color w:val="000000"/>
          <w:lang w:eastAsia="pl-PL"/>
        </w:rPr>
        <w:t>Poprawa dostępności dla osób ze specjalnymi potrzebami w budynkach użyteczności publicznej m.in. w Urzędzie Gminy.</w:t>
      </w:r>
    </w:p>
    <w:p>
      <w:pPr>
        <w:pStyle w:val="Normal"/>
        <w:spacing w:lineRule="auto" w:line="240" w:before="0" w:after="0"/>
        <w:jc w:val="both"/>
        <w:rPr>
          <w:rFonts w:ascii="Calibri" w:hAnsi="Calibri" w:eastAsia="Calibri" w:cs="Times New Roman"/>
          <w:lang w:eastAsia="pl-PL"/>
        </w:rPr>
      </w:pPr>
      <w:r>
        <w:rPr>
          <w:rFonts w:eastAsia="Calibri" w:cs="Times New Roman"/>
          <w:lang w:eastAsia="pl-PL"/>
        </w:rPr>
        <w:t>3. Wsparcie i a</w:t>
      </w:r>
      <w:r>
        <w:rPr>
          <w:rFonts w:eastAsia="Times New Roman" w:cs="Calibri"/>
          <w:color w:val="000000"/>
          <w:lang w:eastAsia="pl-PL"/>
        </w:rPr>
        <w:t>ktywizacja osób w wieku senioralnym</w:t>
      </w:r>
      <w:r>
        <w:rPr>
          <w:rFonts w:eastAsia="Calibri" w:cs="Times New Roman"/>
          <w:lang w:eastAsia="pl-PL"/>
        </w:rPr>
        <w:t xml:space="preserve">: </w:t>
      </w:r>
    </w:p>
    <w:p>
      <w:pPr>
        <w:pStyle w:val="Normal"/>
        <w:spacing w:lineRule="auto" w:line="240" w:before="0" w:after="0"/>
        <w:jc w:val="both"/>
        <w:rPr>
          <w:rFonts w:ascii="Calibri" w:hAnsi="Calibri" w:eastAsia="Calibri" w:cs="Times New Roman"/>
        </w:rPr>
      </w:pPr>
      <w:r>
        <w:rPr>
          <w:rFonts w:eastAsia="Calibri" w:cs="Times New Roman"/>
        </w:rPr>
        <w:t xml:space="preserve">- usługi opiekuńcze w terenie świadczone osobom starszym, </w:t>
      </w:r>
    </w:p>
    <w:p>
      <w:pPr>
        <w:pStyle w:val="Normal"/>
        <w:spacing w:lineRule="auto" w:line="240" w:before="0" w:after="0"/>
        <w:jc w:val="both"/>
        <w:rPr>
          <w:rFonts w:ascii="Calibri" w:hAnsi="Calibri" w:eastAsia="Calibri" w:cs="Times New Roman"/>
        </w:rPr>
      </w:pPr>
      <w:r>
        <w:rPr>
          <w:rFonts w:eastAsia="Calibri" w:cs="Times New Roman"/>
        </w:rPr>
        <w:t>- organizacja Klubu/ów Seniora, Senior+, Dzienny Dom Senior+, itp.,</w:t>
      </w:r>
    </w:p>
    <w:p>
      <w:pPr>
        <w:pStyle w:val="Normal"/>
        <w:spacing w:lineRule="auto" w:line="240" w:before="0" w:after="0"/>
        <w:jc w:val="both"/>
        <w:rPr>
          <w:rFonts w:ascii="Calibri" w:hAnsi="Calibri" w:eastAsia="Calibri" w:cs="Times New Roman"/>
        </w:rPr>
      </w:pPr>
      <w:r>
        <w:rPr>
          <w:rFonts w:eastAsia="Calibri" w:cs="Times New Roman"/>
        </w:rPr>
        <w:t xml:space="preserve">- posiłki z dowozem do domu, </w:t>
      </w:r>
    </w:p>
    <w:p>
      <w:pPr>
        <w:pStyle w:val="Normal"/>
        <w:spacing w:lineRule="auto" w:line="240" w:before="0" w:after="0"/>
        <w:jc w:val="both"/>
        <w:rPr>
          <w:rFonts w:ascii="Calibri" w:hAnsi="Calibri" w:eastAsia="Calibri" w:cs="Times New Roman"/>
        </w:rPr>
      </w:pPr>
      <w:r>
        <w:rPr>
          <w:rFonts w:eastAsia="Calibri" w:cs="Times New Roman"/>
        </w:rPr>
        <w:t>- pomoc sąsiedzka,</w:t>
      </w:r>
    </w:p>
    <w:p>
      <w:pPr>
        <w:pStyle w:val="Normal"/>
        <w:spacing w:lineRule="auto" w:line="240" w:before="0" w:after="0"/>
        <w:jc w:val="both"/>
        <w:rPr>
          <w:rFonts w:ascii="Calibri" w:hAnsi="Calibri" w:eastAsia="Calibri" w:cs="Times New Roman"/>
        </w:rPr>
      </w:pPr>
      <w:r>
        <w:rPr>
          <w:rFonts w:eastAsia="Calibri" w:cs="Times New Roman"/>
        </w:rPr>
        <w:t>- lepszy dostęp do rehabilitacji i terapii,</w:t>
      </w:r>
    </w:p>
    <w:p>
      <w:pPr>
        <w:pStyle w:val="Normal"/>
        <w:spacing w:lineRule="auto" w:line="240" w:before="0" w:after="0"/>
        <w:jc w:val="both"/>
        <w:rPr>
          <w:rFonts w:ascii="Calibri" w:hAnsi="Calibri" w:eastAsia="Calibri" w:cs="Times New Roman"/>
        </w:rPr>
      </w:pPr>
      <w:r>
        <w:rPr>
          <w:rFonts w:eastAsia="Calibri" w:cs="Times New Roman"/>
        </w:rPr>
        <w:t>- rozwijanie usług opiekuńczych i zdrowotnych prowadzonych w przyjaznych warunkach, w domach lub niewielkich placówkach,</w:t>
      </w:r>
    </w:p>
    <w:p>
      <w:pPr>
        <w:pStyle w:val="Normal"/>
        <w:spacing w:lineRule="auto" w:line="240" w:before="0" w:after="0"/>
        <w:jc w:val="both"/>
        <w:rPr>
          <w:rFonts w:ascii="Calibri" w:hAnsi="Calibri" w:eastAsia="Calibri" w:cs="Times New Roman"/>
        </w:rPr>
      </w:pPr>
      <w:r>
        <w:rPr>
          <w:rFonts w:eastAsia="Calibri" w:cs="Times New Roman"/>
        </w:rPr>
        <w:t>- rozwijanie opieki medycznej dla osób uzależnionych lub z zaburzeniami psychicznymi,</w:t>
      </w:r>
    </w:p>
    <w:p>
      <w:pPr>
        <w:pStyle w:val="Normal"/>
        <w:spacing w:lineRule="auto" w:line="240" w:before="0" w:after="0"/>
        <w:jc w:val="both"/>
        <w:rPr>
          <w:rFonts w:ascii="Calibri" w:hAnsi="Calibri" w:eastAsia="Calibri" w:cs="Times New Roman"/>
        </w:rPr>
      </w:pPr>
      <w:r>
        <w:rPr>
          <w:rFonts w:eastAsia="Calibri" w:cs="Times New Roman"/>
        </w:rPr>
        <w:t>-szkolenia dla opiekunów.</w:t>
      </w:r>
    </w:p>
    <w:p>
      <w:pPr>
        <w:pStyle w:val="Normal"/>
        <w:spacing w:lineRule="auto" w:line="240" w:before="0" w:after="0"/>
        <w:jc w:val="both"/>
        <w:rPr>
          <w:rFonts w:ascii="Calibri" w:hAnsi="Calibri" w:eastAsia="Calibri" w:cs="Times New Roman"/>
        </w:rPr>
      </w:pPr>
      <w:r>
        <w:rPr>
          <w:rFonts w:eastAsia="Calibri" w:cs="Times New Roman"/>
        </w:rPr>
        <w:t xml:space="preserve">4. Usługi społeczne skierowane do osób zagrożonych ubóstwem i wykluczeniem, m. in. z powodu: długotrwałego bezrobocia, braku motywacji do podjęcia pracy, niepełnosprawności, niskich kompetencji społecznych i zawodowych, a także osoby bierne zawodowo. W ramach usług społecznych planuje się kompleksową aktywizację społeczną i zawodową osób zagrożonych wykluczeniem: </w:t>
      </w:r>
    </w:p>
    <w:p>
      <w:pPr>
        <w:pStyle w:val="Normal"/>
        <w:spacing w:lineRule="auto" w:line="240" w:before="0" w:after="0"/>
        <w:jc w:val="both"/>
        <w:rPr>
          <w:rFonts w:ascii="Calibri" w:hAnsi="Calibri" w:eastAsia="Calibri" w:cs="Calibri"/>
          <w:color w:val="000000"/>
        </w:rPr>
      </w:pPr>
      <w:r>
        <w:rPr>
          <w:rFonts w:eastAsia="Calibri" w:cs="Calibri"/>
          <w:color w:val="000000"/>
        </w:rPr>
        <w:t xml:space="preserve">- wsparcie psychologiczne, </w:t>
      </w:r>
    </w:p>
    <w:p>
      <w:pPr>
        <w:pStyle w:val="Normal"/>
        <w:spacing w:lineRule="auto" w:line="240" w:before="0" w:after="0"/>
        <w:jc w:val="both"/>
        <w:rPr>
          <w:rFonts w:ascii="Calibri" w:hAnsi="Calibri" w:eastAsia="Calibri" w:cs="Calibri"/>
          <w:color w:val="000000"/>
        </w:rPr>
      </w:pPr>
      <w:r>
        <w:rPr>
          <w:rFonts w:eastAsia="Calibri" w:cs="Calibri"/>
          <w:color w:val="000000"/>
        </w:rPr>
        <w:t xml:space="preserve">- wsparcie zdrowotne, </w:t>
      </w:r>
    </w:p>
    <w:p>
      <w:pPr>
        <w:pStyle w:val="Normal"/>
        <w:spacing w:lineRule="auto" w:line="240" w:before="0" w:after="0"/>
        <w:jc w:val="both"/>
        <w:rPr>
          <w:rFonts w:ascii="Calibri" w:hAnsi="Calibri" w:eastAsia="Calibri" w:cs="Calibri"/>
          <w:color w:val="000000"/>
        </w:rPr>
      </w:pPr>
      <w:r>
        <w:rPr>
          <w:rFonts w:eastAsia="Calibri" w:cs="Calibri"/>
          <w:color w:val="000000"/>
        </w:rPr>
        <w:t xml:space="preserve">- kursy i doradztwo zawodowe, </w:t>
      </w:r>
    </w:p>
    <w:p>
      <w:pPr>
        <w:pStyle w:val="Normal"/>
        <w:spacing w:lineRule="auto" w:line="240" w:before="0" w:after="0"/>
        <w:jc w:val="both"/>
        <w:rPr>
          <w:rFonts w:ascii="Calibri" w:hAnsi="Calibri" w:eastAsia="Calibri" w:cs="Calibri"/>
          <w:color w:val="000000"/>
        </w:rPr>
      </w:pPr>
      <w:r>
        <w:rPr>
          <w:rFonts w:eastAsia="Calibri" w:cs="Calibri"/>
          <w:color w:val="000000"/>
        </w:rPr>
        <w:t xml:space="preserve">- staże zawodowe, </w:t>
      </w:r>
    </w:p>
    <w:p>
      <w:pPr>
        <w:pStyle w:val="Normal"/>
        <w:spacing w:lineRule="auto" w:line="240" w:before="0" w:after="0"/>
        <w:jc w:val="both"/>
        <w:rPr>
          <w:rFonts w:ascii="Calibri" w:hAnsi="Calibri" w:eastAsia="Calibri" w:cs="Calibri"/>
          <w:color w:val="000000"/>
        </w:rPr>
      </w:pPr>
      <w:r>
        <w:rPr>
          <w:rFonts w:eastAsia="Calibri" w:cs="Calibri"/>
          <w:color w:val="000000"/>
        </w:rPr>
        <w:t>- wsparcie w podjęciu zatrudnienia.</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5. Utworzenie i działalność dziennej placówki wsparcia i opieki całodobowej.</w:t>
      </w:r>
    </w:p>
    <w:p>
      <w:pPr>
        <w:pStyle w:val="Normal"/>
        <w:spacing w:lineRule="auto" w:line="240" w:before="0" w:after="0"/>
        <w:jc w:val="both"/>
        <w:rPr>
          <w:rFonts w:ascii="Calibri" w:hAnsi="Calibri" w:eastAsia="Calibri" w:cs="Calibri"/>
          <w:lang w:eastAsia="pl-PL"/>
        </w:rPr>
      </w:pPr>
      <w:r>
        <w:rPr>
          <w:rFonts w:eastAsia="Calibri" w:cs="Calibri"/>
          <w:lang w:eastAsia="pl-PL"/>
        </w:rPr>
        <w:t>6. Realizacja przez Ośrodek Pomocy Społecznej w Dwikozach projektów związanych z aktywizacją osób bezrobotnych i biernych zawodowo.</w:t>
      </w:r>
    </w:p>
    <w:p>
      <w:pPr>
        <w:pStyle w:val="Normal"/>
        <w:spacing w:lineRule="auto" w:line="240" w:before="0" w:after="0"/>
        <w:jc w:val="both"/>
        <w:rPr>
          <w:rFonts w:ascii="Calibri" w:hAnsi="Calibri" w:eastAsia="Calibri" w:cs="Times New Roman"/>
        </w:rPr>
      </w:pPr>
      <w:r>
        <w:rPr>
          <w:rFonts w:eastAsia="Calibri" w:cs="Times New Roman"/>
        </w:rPr>
        <w:t>7. Zakładanie i rozwijanie działalności Centrum Integracji Społecznej (CIS), Klubów Integracji Społecznej (KIS), Zakładów Aktywizacji Zawodowej (ZAZ) oraz Warsztatów Terapii Zajęciowej (WTZ).</w:t>
      </w:r>
    </w:p>
    <w:p>
      <w:pPr>
        <w:pStyle w:val="Normal"/>
        <w:spacing w:lineRule="auto" w:line="240" w:before="0" w:after="0"/>
        <w:jc w:val="both"/>
        <w:rPr>
          <w:rFonts w:ascii="Calibri" w:hAnsi="Calibri" w:eastAsia="Calibri" w:cs="Times New Roman"/>
        </w:rPr>
      </w:pPr>
      <w:r>
        <w:rPr>
          <w:rFonts w:eastAsia="Calibri" w:cs="Times New Roman"/>
        </w:rPr>
        <w:t xml:space="preserve">8. Pomoc dla dzieci i rodzin, m. in.: </w:t>
      </w:r>
    </w:p>
    <w:p>
      <w:pPr>
        <w:pStyle w:val="Normal"/>
        <w:spacing w:lineRule="auto" w:line="240" w:before="0" w:after="0"/>
        <w:jc w:val="both"/>
        <w:rPr>
          <w:rFonts w:ascii="Calibri" w:hAnsi="Calibri" w:eastAsia="Calibri" w:cs="Times New Roman"/>
        </w:rPr>
      </w:pPr>
      <w:r>
        <w:rPr>
          <w:rFonts w:eastAsia="Calibri" w:cs="Times New Roman"/>
        </w:rPr>
        <w:t xml:space="preserve">- tworzenie i utrzymanie świetlic środowiskowych, </w:t>
      </w:r>
    </w:p>
    <w:p>
      <w:pPr>
        <w:pStyle w:val="Normal"/>
        <w:spacing w:lineRule="auto" w:line="240" w:before="0" w:after="0"/>
        <w:jc w:val="both"/>
        <w:rPr>
          <w:rFonts w:ascii="Calibri" w:hAnsi="Calibri" w:eastAsia="Calibri" w:cs="Times New Roman"/>
        </w:rPr>
      </w:pPr>
      <w:r>
        <w:rPr>
          <w:rFonts w:eastAsia="Calibri" w:cs="Times New Roman"/>
        </w:rPr>
        <w:t>- tworzenie i utrzymanie Ośrodków Interwencji Kryzysowej,</w:t>
      </w:r>
    </w:p>
    <w:p>
      <w:pPr>
        <w:pStyle w:val="Normal"/>
        <w:spacing w:lineRule="auto" w:line="240" w:before="0" w:after="0"/>
        <w:jc w:val="both"/>
        <w:rPr>
          <w:rFonts w:ascii="Calibri" w:hAnsi="Calibri" w:eastAsia="Calibri" w:cs="Times New Roman"/>
        </w:rPr>
      </w:pPr>
      <w:r>
        <w:rPr>
          <w:rFonts w:eastAsia="Calibri" w:cs="Times New Roman"/>
        </w:rPr>
        <w:t xml:space="preserve">- prowadzenie grup wsparcia dla dzieci i rodzin, </w:t>
      </w:r>
    </w:p>
    <w:p>
      <w:pPr>
        <w:pStyle w:val="Normal"/>
        <w:spacing w:lineRule="auto" w:line="240" w:before="0" w:after="0"/>
        <w:jc w:val="both"/>
        <w:rPr>
          <w:rFonts w:ascii="Calibri" w:hAnsi="Calibri" w:eastAsia="Calibri" w:cs="Times New Roman"/>
        </w:rPr>
      </w:pPr>
      <w:r>
        <w:rPr>
          <w:rFonts w:eastAsia="Calibri" w:cs="Times New Roman"/>
        </w:rPr>
        <w:t>- wsparcie rodzin zastępczych (prawne, psychologiczne itd.),</w:t>
      </w:r>
    </w:p>
    <w:p>
      <w:pPr>
        <w:pStyle w:val="Normal"/>
        <w:spacing w:lineRule="auto" w:line="240" w:before="0" w:after="0"/>
        <w:jc w:val="both"/>
        <w:rPr>
          <w:rFonts w:ascii="Calibri" w:hAnsi="Calibri" w:eastAsia="Calibri" w:cs="Times New Roman"/>
        </w:rPr>
      </w:pPr>
      <w:r>
        <w:rPr>
          <w:rFonts w:eastAsia="Calibri" w:cs="Times New Roman"/>
        </w:rPr>
        <w:t>- szkolenia dla asystentów rodzin.</w:t>
      </w:r>
    </w:p>
    <w:p>
      <w:pPr>
        <w:pStyle w:val="Normal"/>
        <w:spacing w:lineRule="auto" w:line="240" w:before="0" w:after="0"/>
        <w:jc w:val="both"/>
        <w:rPr>
          <w:rFonts w:ascii="Calibri" w:hAnsi="Calibri" w:eastAsia="Times New Roman" w:cs="Calibri"/>
          <w:color w:val="000000"/>
          <w:lang w:eastAsia="pl-PL"/>
        </w:rPr>
      </w:pPr>
      <w:r>
        <w:rPr>
          <w:rFonts w:eastAsia="Calibri" w:cs="Times New Roman"/>
        </w:rPr>
        <w:t>9. D</w:t>
      </w:r>
      <w:r>
        <w:rPr>
          <w:rFonts w:eastAsia="Times New Roman" w:cs="Calibri"/>
          <w:color w:val="000000"/>
          <w:lang w:eastAsia="pl-PL"/>
        </w:rPr>
        <w:t>ostosowanie wszystkich obiektów użyteczności publicznej (urzędu, świetlic, szkół, obiektów OSP, itp.) do potrzeb osób ze szczególnymi potrzebami m.in. osób z niepełnosprawnością, seniorów, kobiet w ciąży, itp.</w:t>
      </w:r>
    </w:p>
    <w:p>
      <w:pPr>
        <w:pStyle w:val="Normal"/>
        <w:spacing w:lineRule="auto" w:line="240" w:before="0" w:after="0"/>
        <w:rPr>
          <w:rFonts w:eastAsia="Times New Roman" w:cs="Calibri" w:cstheme="minorHAnsi"/>
          <w:b/>
          <w:b/>
          <w:bCs/>
          <w:sz w:val="32"/>
          <w:szCs w:val="32"/>
        </w:rPr>
      </w:pPr>
      <w:r>
        <w:rPr>
          <w:rFonts w:eastAsia="Times New Roman" w:cs="Calibri" w:cstheme="minorHAnsi"/>
          <w:b/>
          <w:bCs/>
          <w:sz w:val="32"/>
          <w:szCs w:val="32"/>
        </w:rPr>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sz w:val="32"/>
          <w:szCs w:val="32"/>
        </w:rPr>
      </w:pPr>
      <w:bookmarkStart w:id="202" w:name="_Toc118887467"/>
      <w:r>
        <w:rPr>
          <w:rFonts w:cs="Calibri" w:ascii="Calibri" w:hAnsi="Calibri" w:asciiTheme="minorHAnsi" w:cstheme="minorHAnsi" w:hAnsiTheme="minorHAnsi"/>
          <w:i w:val="false"/>
          <w:iCs w:val="false"/>
        </w:rPr>
        <w:t>Ochrona zdrowia</w:t>
      </w:r>
      <w:bookmarkEnd w:id="202"/>
      <w:r>
        <w:rPr>
          <w:rFonts w:cs="Calibri" w:ascii="Calibri" w:hAnsi="Calibri" w:asciiTheme="minorHAnsi" w:cstheme="minorHAnsi" w:hAnsiTheme="minorHAnsi"/>
          <w:i w:val="false"/>
          <w:iCs w:val="false"/>
        </w:rPr>
        <w:t xml:space="preserve"> </w:t>
      </w:r>
      <w:bookmarkEnd w:id="201"/>
    </w:p>
    <w:p>
      <w:pPr>
        <w:pStyle w:val="Normal"/>
        <w:spacing w:lineRule="auto" w:line="240" w:before="0" w:after="0"/>
        <w:jc w:val="both"/>
        <w:rPr>
          <w:rFonts w:cs="Calibri" w:cstheme="minorHAnsi"/>
        </w:rPr>
      </w:pPr>
      <w:r>
        <w:rPr>
          <w:rFonts w:cs="Calibri" w:cstheme="minorHAnsi"/>
        </w:rPr>
        <w:t>Na terenie gminy w 2021 roku świadczenia zdrowotne były udzielane przez:</w:t>
      </w:r>
    </w:p>
    <w:p>
      <w:pPr>
        <w:pStyle w:val="ListParagraph"/>
        <w:numPr>
          <w:ilvl w:val="0"/>
          <w:numId w:val="32"/>
        </w:numPr>
        <w:spacing w:lineRule="auto" w:line="240" w:before="0" w:after="0"/>
        <w:jc w:val="both"/>
        <w:rPr>
          <w:rFonts w:ascii="Calibri" w:hAnsi="Calibri" w:cs="Calibri" w:asciiTheme="minorHAnsi" w:cstheme="minorHAnsi" w:hAnsiTheme="minorHAnsi"/>
        </w:rPr>
      </w:pPr>
      <w:r>
        <w:rPr>
          <w:rFonts w:cs="Calibri" w:cstheme="minorHAnsi"/>
        </w:rPr>
        <w:t xml:space="preserve">Niepubliczny Zakład Opieki Zdrowotnej w Dwikozach (przychodnia posiada specjalistów </w:t>
        <w:br/>
        <w:t>z zakresu: medycyny rodzinnej, chorób płuc, ginekologii i położnictwa, medycyny pracy, rehabilitacji medycznej oraz reumatologii);</w:t>
      </w:r>
    </w:p>
    <w:p>
      <w:pPr>
        <w:pStyle w:val="ListParagraph"/>
        <w:numPr>
          <w:ilvl w:val="0"/>
          <w:numId w:val="32"/>
        </w:numPr>
        <w:spacing w:lineRule="auto" w:line="240" w:before="0" w:after="0"/>
        <w:jc w:val="both"/>
        <w:rPr>
          <w:rFonts w:ascii="Calibri" w:hAnsi="Calibri" w:cs="Calibri" w:asciiTheme="minorHAnsi" w:cstheme="minorHAnsi" w:hAnsiTheme="minorHAnsi"/>
        </w:rPr>
      </w:pPr>
      <w:r>
        <w:rPr>
          <w:rFonts w:cs="Calibri" w:cstheme="minorHAnsi"/>
        </w:rPr>
        <w:t>lekarzy praktykujących indywidualnie w Dwikozach i Nowym Garbowie, w tym lekarzy stomatologów.</w:t>
      </w:r>
    </w:p>
    <w:p>
      <w:pPr>
        <w:pStyle w:val="Normal"/>
        <w:spacing w:lineRule="auto" w:line="240" w:before="0" w:after="0"/>
        <w:jc w:val="both"/>
        <w:rPr>
          <w:rFonts w:cs="Calibri" w:cstheme="minorHAnsi"/>
          <w:highlight w:val="yellow"/>
        </w:rPr>
      </w:pPr>
      <w:r>
        <w:rPr>
          <w:rFonts w:cs="Calibri" w:cstheme="minorHAnsi"/>
          <w:highlight w:val="yellow"/>
        </w:rPr>
      </w:r>
    </w:p>
    <w:p>
      <w:pPr>
        <w:pStyle w:val="Normal"/>
        <w:spacing w:lineRule="auto" w:line="240" w:before="0" w:after="0"/>
        <w:jc w:val="both"/>
        <w:rPr>
          <w:rFonts w:cs="Calibri" w:cstheme="minorHAnsi"/>
          <w:color w:val="000000"/>
        </w:rPr>
      </w:pPr>
      <w:r>
        <w:rPr>
          <w:rFonts w:cs="Calibri" w:cstheme="minorHAnsi"/>
          <w:color w:val="000000"/>
        </w:rPr>
        <w:t xml:space="preserve">Według danych GUS na terenie gminy Dwikozy w 2021r. udzielono </w:t>
      </w:r>
      <w:r>
        <w:rPr>
          <w:rFonts w:eastAsia="Times New Roman" w:cs="Calibri" w:cstheme="minorHAnsi"/>
          <w:lang w:eastAsia="pl-PL"/>
        </w:rPr>
        <w:t xml:space="preserve">21 041 porad medycznych. </w:t>
      </w:r>
    </w:p>
    <w:p>
      <w:pPr>
        <w:pStyle w:val="NoSpacing"/>
        <w:jc w:val="both"/>
        <w:rPr>
          <w:rFonts w:ascii="Calibri" w:hAnsi="Calibri" w:cs="Calibri" w:asciiTheme="minorHAnsi" w:cstheme="minorHAnsi" w:hAnsiTheme="minorHAnsi"/>
          <w:color w:val="FF0000"/>
        </w:rPr>
      </w:pPr>
      <w:r>
        <w:rPr>
          <w:rFonts w:cs="Calibri" w:cstheme="minorHAnsi"/>
          <w:color w:val="FF0000"/>
        </w:rPr>
      </w:r>
    </w:p>
    <w:p>
      <w:pPr>
        <w:pStyle w:val="Caption"/>
        <w:spacing w:lineRule="auto" w:line="240" w:before="0" w:after="0"/>
        <w:jc w:val="center"/>
        <w:rPr>
          <w:rFonts w:ascii="Calibri" w:hAnsi="Calibri" w:cs="Calibri" w:asciiTheme="minorHAnsi" w:cstheme="minorHAnsi" w:hAnsiTheme="minorHAnsi"/>
          <w:b w:val="false"/>
          <w:b w:val="false"/>
          <w:bCs w:val="false"/>
          <w:color w:val="FF0000"/>
        </w:rPr>
      </w:pPr>
      <w:bookmarkStart w:id="203" w:name="_Toc118887780"/>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31</w:t>
      </w:r>
      <w:r>
        <w:rPr>
          <w:b w:val="false"/>
          <w:bCs w:val="false"/>
          <w:rFonts w:cs="Calibri"/>
        </w:rPr>
        <w:fldChar w:fldCharType="end"/>
      </w:r>
      <w:r>
        <w:rPr>
          <w:rFonts w:cs="Calibri" w:cstheme="minorHAnsi"/>
          <w:b w:val="false"/>
          <w:bCs w:val="false"/>
        </w:rPr>
        <w:t xml:space="preserve"> Liczba udzielonych porad w Gminie Dwikozy w latach 2015-2021</w:t>
      </w:r>
      <w:bookmarkEnd w:id="203"/>
    </w:p>
    <w:tbl>
      <w:tblPr>
        <w:tblW w:w="9183"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2262"/>
        <w:gridCol w:w="1121"/>
        <w:gridCol w:w="1000"/>
        <w:gridCol w:w="959"/>
        <w:gridCol w:w="961"/>
        <w:gridCol w:w="959"/>
        <w:gridCol w:w="961"/>
        <w:gridCol w:w="959"/>
      </w:tblGrid>
      <w:tr>
        <w:trPr>
          <w:trHeight w:val="300" w:hRule="atLeast"/>
        </w:trPr>
        <w:tc>
          <w:tcPr>
            <w:tcW w:w="226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bookmarkStart w:id="204" w:name="_Hlk118561729"/>
            <w:r>
              <w:rPr>
                <w:rFonts w:eastAsia="Times New Roman" w:cs="Calibri" w:cstheme="minorHAnsi"/>
                <w:b/>
                <w:bCs/>
                <w:lang w:eastAsia="pl-PL"/>
              </w:rPr>
              <w:t> </w:t>
            </w:r>
            <w:r>
              <w:rPr>
                <w:rFonts w:eastAsia="Times New Roman" w:cs="Calibri" w:cstheme="minorHAnsi"/>
                <w:b/>
                <w:bCs/>
                <w:lang w:eastAsia="pl-PL"/>
              </w:rPr>
              <w:t>Dwikozy</w:t>
            </w:r>
          </w:p>
        </w:tc>
        <w:tc>
          <w:tcPr>
            <w:tcW w:w="1121"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2015</w:t>
            </w:r>
          </w:p>
        </w:tc>
        <w:tc>
          <w:tcPr>
            <w:tcW w:w="1000"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2017</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2018</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2019</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2020</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2021</w:t>
            </w:r>
          </w:p>
        </w:tc>
      </w:tr>
      <w:tr>
        <w:trPr>
          <w:trHeight w:val="465" w:hRule="atLeast"/>
        </w:trPr>
        <w:tc>
          <w:tcPr>
            <w:tcW w:w="226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Ilość udzielanych porad</w:t>
            </w:r>
          </w:p>
        </w:tc>
        <w:tc>
          <w:tcPr>
            <w:tcW w:w="11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20 387</w:t>
            </w:r>
          </w:p>
        </w:tc>
        <w:tc>
          <w:tcPr>
            <w:tcW w:w="10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19 664</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20 595</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20 716</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21 337</w:t>
            </w:r>
          </w:p>
        </w:tc>
        <w:tc>
          <w:tcPr>
            <w:tcW w:w="9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19 580</w:t>
            </w:r>
          </w:p>
        </w:tc>
        <w:tc>
          <w:tcPr>
            <w:tcW w:w="9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bookmarkStart w:id="205" w:name="_Hlk118561729"/>
            <w:r>
              <w:rPr>
                <w:rFonts w:eastAsia="Times New Roman" w:cs="Calibri" w:cstheme="minorHAnsi"/>
                <w:lang w:eastAsia="pl-PL"/>
              </w:rPr>
              <w:t>21 041</w:t>
            </w:r>
            <w:bookmarkEnd w:id="205"/>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dane Głównego Urzędu Statystycznego</w:t>
      </w:r>
    </w:p>
    <w:p>
      <w:pPr>
        <w:pStyle w:val="Normal"/>
        <w:spacing w:lineRule="auto" w:line="240" w:before="0" w:after="0"/>
        <w:jc w:val="both"/>
        <w:rPr>
          <w:rFonts w:cs="Calibri" w:cstheme="minorHAnsi"/>
          <w:i/>
          <w:i/>
          <w:iCs/>
          <w:highlight w:val="yellow"/>
        </w:rPr>
      </w:pPr>
      <w:r>
        <w:rPr>
          <w:rFonts w:cs="Calibri" w:cstheme="minorHAnsi"/>
          <w:i/>
          <w:iCs/>
          <w:highlight w:val="yellow"/>
        </w:rPr>
      </w:r>
    </w:p>
    <w:p>
      <w:pPr>
        <w:pStyle w:val="Normal"/>
        <w:spacing w:lineRule="auto" w:line="240" w:before="0" w:after="0"/>
        <w:jc w:val="both"/>
        <w:rPr>
          <w:rFonts w:cs="Calibri" w:cstheme="minorHAnsi"/>
        </w:rPr>
      </w:pPr>
      <w:r>
        <w:rPr>
          <w:rFonts w:cs="Calibri" w:cstheme="minorHAnsi"/>
        </w:rPr>
        <w:t>Na terenie gminy w 2021 r. funkcjonował jeden punkt szczepień przeciwko koronawirusowi SARS-CoV-2. Według stanu na dzień 18.07.2022r. na terenie Gminy Dwikozy w pełni zaczepionych jest 53,10% mieszkańców (tj. 4 594 osób). Liczba osób zaszczepionych minimum jedną dawką wynosi 4684 osoby.</w:t>
      </w:r>
    </w:p>
    <w:p>
      <w:pPr>
        <w:pStyle w:val="NoSpacing"/>
        <w:rPr>
          <w:rFonts w:ascii="Calibri" w:hAnsi="Calibri" w:cs="Calibri" w:asciiTheme="minorHAnsi" w:cstheme="minorHAnsi" w:hAnsi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06" w:name="_Toc118887781"/>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32</w:t>
      </w:r>
      <w:r>
        <w:rPr>
          <w:b w:val="false"/>
          <w:bCs w:val="false"/>
          <w:rFonts w:cs="Calibri"/>
        </w:rPr>
        <w:fldChar w:fldCharType="end"/>
      </w:r>
      <w:r>
        <w:rPr>
          <w:rFonts w:cs="Calibri" w:cstheme="minorHAnsi"/>
          <w:b w:val="false"/>
          <w:bCs w:val="false"/>
        </w:rPr>
        <w:t xml:space="preserve"> liczba osób zaszczepionych przeciwko COVID-19 w Gminie Dwikozy (stan na 18.07.2022)</w:t>
      </w:r>
      <w:bookmarkEnd w:id="206"/>
    </w:p>
    <w:tbl>
      <w:tblPr>
        <w:tblW w:w="722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33"/>
        <w:gridCol w:w="1848"/>
        <w:gridCol w:w="1847"/>
      </w:tblGrid>
      <w:tr>
        <w:trPr>
          <w:trHeight w:val="635" w:hRule="atLeast"/>
        </w:trPr>
        <w:tc>
          <w:tcPr>
            <w:tcW w:w="3533" w:type="dxa"/>
            <w:tcBorders>
              <w:top w:val="single" w:sz="8" w:space="0" w:color="000000"/>
              <w:left w:val="single" w:sz="8" w:space="0" w:color="000000"/>
              <w:bottom w:val="single" w:sz="8" w:space="0" w:color="000000"/>
              <w:right w:val="single" w:sz="8" w:space="0" w:color="000000"/>
            </w:tcBorders>
            <w:shd w:color="000000" w:fill="E2EFDA"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COVID</w:t>
            </w:r>
          </w:p>
        </w:tc>
        <w:tc>
          <w:tcPr>
            <w:tcW w:w="1848" w:type="dxa"/>
            <w:tcBorders>
              <w:top w:val="single" w:sz="8" w:space="0" w:color="000000"/>
              <w:bottom w:val="single" w:sz="8" w:space="0" w:color="000000"/>
              <w:right w:val="single" w:sz="8" w:space="0" w:color="000000"/>
            </w:tcBorders>
            <w:shd w:color="000000" w:fill="E2EFD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liczba osób zaszczepionych</w:t>
            </w:r>
          </w:p>
        </w:tc>
        <w:tc>
          <w:tcPr>
            <w:tcW w:w="1847" w:type="dxa"/>
            <w:tcBorders>
              <w:top w:val="single" w:sz="8" w:space="0" w:color="000000"/>
              <w:bottom w:val="single" w:sz="8" w:space="0" w:color="000000"/>
              <w:right w:val="single" w:sz="8" w:space="0" w:color="000000"/>
            </w:tcBorders>
            <w:shd w:color="000000" w:fill="E2EFD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 zaszczepienia</w:t>
            </w:r>
          </w:p>
        </w:tc>
      </w:tr>
      <w:tr>
        <w:trPr>
          <w:trHeight w:val="164" w:hRule="atLeast"/>
        </w:trPr>
        <w:tc>
          <w:tcPr>
            <w:tcW w:w="353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zaszczepieni 1 dawką</w:t>
            </w:r>
          </w:p>
        </w:tc>
        <w:tc>
          <w:tcPr>
            <w:tcW w:w="1848"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4 684</w:t>
            </w:r>
          </w:p>
        </w:tc>
        <w:tc>
          <w:tcPr>
            <w:tcW w:w="184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54,10%</w:t>
            </w:r>
          </w:p>
        </w:tc>
      </w:tr>
      <w:tr>
        <w:trPr>
          <w:trHeight w:val="164" w:hRule="atLeast"/>
        </w:trPr>
        <w:tc>
          <w:tcPr>
            <w:tcW w:w="353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pełni zaszczepieni</w:t>
            </w:r>
          </w:p>
        </w:tc>
        <w:tc>
          <w:tcPr>
            <w:tcW w:w="1848"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4 594</w:t>
            </w:r>
          </w:p>
        </w:tc>
        <w:tc>
          <w:tcPr>
            <w:tcW w:w="184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53,10%</w:t>
            </w:r>
          </w:p>
        </w:tc>
      </w:tr>
      <w:tr>
        <w:trPr>
          <w:trHeight w:val="635" w:hRule="atLeast"/>
        </w:trPr>
        <w:tc>
          <w:tcPr>
            <w:tcW w:w="3533" w:type="dxa"/>
            <w:tcBorders>
              <w:left w:val="single" w:sz="8" w:space="0" w:color="000000"/>
              <w:bottom w:val="single" w:sz="8" w:space="0" w:color="000000"/>
              <w:right w:val="single" w:sz="8" w:space="0" w:color="000000"/>
            </w:tcBorders>
            <w:shd w:color="000000" w:fill="E2EFDA"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Przedział wiekowy</w:t>
            </w:r>
          </w:p>
        </w:tc>
        <w:tc>
          <w:tcPr>
            <w:tcW w:w="1848" w:type="dxa"/>
            <w:tcBorders>
              <w:bottom w:val="single" w:sz="8" w:space="0" w:color="000000"/>
              <w:right w:val="single" w:sz="8" w:space="0" w:color="000000"/>
            </w:tcBorders>
            <w:shd w:color="000000" w:fill="E2EFD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Liczba zaszczepionych min. 1 dawką</w:t>
            </w:r>
          </w:p>
        </w:tc>
        <w:tc>
          <w:tcPr>
            <w:tcW w:w="1847" w:type="dxa"/>
            <w:tcBorders>
              <w:bottom w:val="single" w:sz="8" w:space="0" w:color="000000"/>
              <w:right w:val="single" w:sz="8" w:space="0" w:color="000000"/>
            </w:tcBorders>
            <w:shd w:color="000000" w:fill="E2EFD9"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Liczba w pełni zaszczepionych</w:t>
            </w:r>
          </w:p>
        </w:tc>
      </w:tr>
      <w:tr>
        <w:trPr>
          <w:trHeight w:val="164" w:hRule="atLeast"/>
        </w:trPr>
        <w:tc>
          <w:tcPr>
            <w:tcW w:w="3533"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0-11 lat</w:t>
            </w:r>
          </w:p>
        </w:tc>
        <w:tc>
          <w:tcPr>
            <w:tcW w:w="1848" w:type="dxa"/>
            <w:tcBorders>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41</w:t>
            </w:r>
          </w:p>
        </w:tc>
        <w:tc>
          <w:tcPr>
            <w:tcW w:w="1847" w:type="dxa"/>
            <w:tcBorders>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37</w:t>
            </w:r>
          </w:p>
        </w:tc>
      </w:tr>
      <w:tr>
        <w:trPr>
          <w:trHeight w:val="164" w:hRule="atLeast"/>
        </w:trPr>
        <w:tc>
          <w:tcPr>
            <w:tcW w:w="3533" w:type="dxa"/>
            <w:tcBorders>
              <w:left w:val="single" w:sz="8" w:space="0" w:color="000000"/>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12-19 lat</w:t>
            </w:r>
          </w:p>
        </w:tc>
        <w:tc>
          <w:tcPr>
            <w:tcW w:w="1848" w:type="dxa"/>
            <w:tcBorders>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220</w:t>
            </w:r>
          </w:p>
        </w:tc>
        <w:tc>
          <w:tcPr>
            <w:tcW w:w="1847" w:type="dxa"/>
            <w:tcBorders>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216</w:t>
            </w:r>
          </w:p>
        </w:tc>
      </w:tr>
      <w:tr>
        <w:trPr>
          <w:trHeight w:val="164" w:hRule="atLeast"/>
        </w:trPr>
        <w:tc>
          <w:tcPr>
            <w:tcW w:w="3533"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20-39 lat</w:t>
            </w:r>
          </w:p>
        </w:tc>
        <w:tc>
          <w:tcPr>
            <w:tcW w:w="1848" w:type="dxa"/>
            <w:tcBorders>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1048</w:t>
            </w:r>
          </w:p>
        </w:tc>
        <w:tc>
          <w:tcPr>
            <w:tcW w:w="1847" w:type="dxa"/>
            <w:tcBorders>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1022</w:t>
            </w:r>
          </w:p>
        </w:tc>
      </w:tr>
      <w:tr>
        <w:trPr>
          <w:trHeight w:val="164" w:hRule="atLeast"/>
        </w:trPr>
        <w:tc>
          <w:tcPr>
            <w:tcW w:w="3533" w:type="dxa"/>
            <w:tcBorders>
              <w:left w:val="single" w:sz="8" w:space="0" w:color="000000"/>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40-59 lat</w:t>
            </w:r>
          </w:p>
        </w:tc>
        <w:tc>
          <w:tcPr>
            <w:tcW w:w="1848" w:type="dxa"/>
            <w:tcBorders>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1495</w:t>
            </w:r>
          </w:p>
        </w:tc>
        <w:tc>
          <w:tcPr>
            <w:tcW w:w="1847" w:type="dxa"/>
            <w:tcBorders>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1473</w:t>
            </w:r>
          </w:p>
        </w:tc>
      </w:tr>
      <w:tr>
        <w:trPr>
          <w:trHeight w:val="164" w:hRule="atLeast"/>
        </w:trPr>
        <w:tc>
          <w:tcPr>
            <w:tcW w:w="3533"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60-69 lat</w:t>
            </w:r>
          </w:p>
        </w:tc>
        <w:tc>
          <w:tcPr>
            <w:tcW w:w="1848" w:type="dxa"/>
            <w:tcBorders>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898</w:t>
            </w:r>
          </w:p>
        </w:tc>
        <w:tc>
          <w:tcPr>
            <w:tcW w:w="1847" w:type="dxa"/>
            <w:tcBorders>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885</w:t>
            </w:r>
          </w:p>
        </w:tc>
      </w:tr>
      <w:tr>
        <w:trPr>
          <w:trHeight w:val="164" w:hRule="atLeast"/>
        </w:trPr>
        <w:tc>
          <w:tcPr>
            <w:tcW w:w="3533" w:type="dxa"/>
            <w:tcBorders>
              <w:left w:val="single" w:sz="8" w:space="0" w:color="000000"/>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70+</w:t>
            </w:r>
          </w:p>
        </w:tc>
        <w:tc>
          <w:tcPr>
            <w:tcW w:w="1848" w:type="dxa"/>
            <w:tcBorders>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982</w:t>
            </w:r>
          </w:p>
        </w:tc>
        <w:tc>
          <w:tcPr>
            <w:tcW w:w="1847" w:type="dxa"/>
            <w:tcBorders>
              <w:bottom w:val="single" w:sz="8" w:space="0" w:color="000000"/>
              <w:right w:val="single" w:sz="8"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961</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https://www.gov.pl/web/szczepienia-gmin#/poziomwyszczepienia</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Na terenie gminy w 2021 r. nie realizowano żadnych programów zdrowotnych. Funkcjonują 2 apteki. </w:t>
      </w:r>
    </w:p>
    <w:p>
      <w:pPr>
        <w:pStyle w:val="Normal"/>
        <w:spacing w:lineRule="auto" w:line="240" w:before="0" w:after="0"/>
        <w:jc w:val="both"/>
        <w:rPr>
          <w:rFonts w:cs="Calibri" w:cstheme="minorHAnsi"/>
          <w:color w:val="000000"/>
        </w:rPr>
      </w:pPr>
      <w:r>
        <w:rPr>
          <w:rFonts w:cs="Calibri" w:cstheme="minorHAnsi"/>
          <w:color w:val="000000"/>
        </w:rPr>
      </w:r>
    </w:p>
    <w:p>
      <w:pPr>
        <w:pStyle w:val="NoSpacing"/>
        <w:jc w:val="both"/>
        <w:rPr>
          <w:rFonts w:ascii="Calibri" w:hAnsi="Calibri" w:cs="Calibri" w:asciiTheme="minorHAnsi" w:cstheme="minorHAnsi" w:hAnsiTheme="minorHAnsi"/>
        </w:rPr>
      </w:pPr>
      <w:r>
        <w:rPr>
          <w:rFonts w:cs="Calibri" w:cstheme="minorHAnsi"/>
        </w:rPr>
        <w:t xml:space="preserve">Niepubliczny Zakład Opieki Zdrowotnej w Dwikozach w najbliższym czasie należy doposażyć </w:t>
        <w:br/>
        <w:t xml:space="preserve">w nowoczesny sprzęt oraz rozszerzyć zakresu usług skierowanych do seniorów np. fizjoterapia, rehabilitacja. </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Zdiagnozowane potrzeby:</w:t>
      </w:r>
    </w:p>
    <w:p>
      <w:pPr>
        <w:pStyle w:val="Normal"/>
        <w:spacing w:lineRule="auto" w:line="240" w:before="0" w:after="0"/>
        <w:jc w:val="both"/>
        <w:rPr>
          <w:rFonts w:ascii="Calibri" w:hAnsi="Calibri" w:eastAsia="Calibri" w:cs="Times New Roman"/>
        </w:rPr>
      </w:pPr>
      <w:r>
        <w:rPr>
          <w:rFonts w:eastAsia="Calibri" w:cs="Calibri"/>
          <w:color w:val="000000"/>
          <w:lang w:eastAsia="pl-PL"/>
        </w:rPr>
        <w:t xml:space="preserve">1. Modernizacja (przebudowa) obiektu </w:t>
      </w:r>
      <w:r>
        <w:rPr>
          <w:rFonts w:eastAsia="Calibri" w:cs="Calibri"/>
        </w:rPr>
        <w:t xml:space="preserve">Niepublicznego Zakładu Opieki Zdrowotnej w Dwikozach wraz </w:t>
        <w:br/>
        <w:t xml:space="preserve">z jego doposażeniem, </w:t>
      </w:r>
      <w:r>
        <w:rPr>
          <w:rFonts w:eastAsia="Calibri" w:cs="Times New Roman"/>
        </w:rPr>
        <w:t>w tym m.in. aparaty EKG, USG, bilirubinometr, defibrylator, lampy UV-C.</w:t>
      </w:r>
    </w:p>
    <w:p>
      <w:pPr>
        <w:pStyle w:val="Normal"/>
        <w:spacing w:lineRule="auto" w:line="240" w:before="0" w:after="0"/>
        <w:jc w:val="both"/>
        <w:rPr>
          <w:rFonts w:ascii="Calibri" w:hAnsi="Calibri" w:eastAsia="Calibri" w:cs="Times New Roman"/>
        </w:rPr>
      </w:pPr>
      <w:r>
        <w:rPr>
          <w:rFonts w:eastAsia="Calibri" w:cs="Times New Roman"/>
        </w:rPr>
        <w:t>2. Doposażenie POZ w niezbędny sprzęt rehabilitacyjny.</w:t>
      </w:r>
    </w:p>
    <w:p>
      <w:pPr>
        <w:pStyle w:val="Normal"/>
        <w:spacing w:lineRule="auto" w:line="240" w:before="0" w:after="0"/>
        <w:jc w:val="both"/>
        <w:rPr>
          <w:rFonts w:ascii="Calibri" w:hAnsi="Calibri" w:eastAsia="Calibri" w:cs="Calibri"/>
          <w:color w:val="000000"/>
        </w:rPr>
      </w:pPr>
      <w:r>
        <w:rPr>
          <w:rFonts w:eastAsia="Calibri" w:cs="Calibri"/>
          <w:color w:val="000000"/>
        </w:rPr>
        <w:t>3. Rozwój e-usług zdrowotnych</w:t>
      </w:r>
      <w:r>
        <w:rPr>
          <w:rFonts w:eastAsia="Calibri" w:cs="Times New Roman"/>
        </w:rPr>
        <w:t xml:space="preserve"> - d</w:t>
      </w:r>
      <w:r>
        <w:rPr>
          <w:rFonts w:eastAsia="Calibri" w:cs="Calibri"/>
          <w:color w:val="000000"/>
        </w:rPr>
        <w:t>oposażenie POZ w sprzęt informatyczny (informatyzacja Ośrodka Zdrowia).</w:t>
      </w:r>
    </w:p>
    <w:p>
      <w:pPr>
        <w:pStyle w:val="Normal"/>
        <w:spacing w:lineRule="auto" w:line="240" w:before="0" w:after="0"/>
        <w:jc w:val="both"/>
        <w:rPr>
          <w:rFonts w:ascii="Calibri" w:hAnsi="Calibri" w:eastAsia="Calibri" w:cs="Calibri"/>
          <w:color w:val="000000"/>
        </w:rPr>
      </w:pPr>
      <w:r>
        <w:rPr>
          <w:rFonts w:eastAsia="Calibri" w:cs="Calibri"/>
          <w:color w:val="000000"/>
        </w:rPr>
        <w:t xml:space="preserve">4. Lepszy dostęp do rehabilitacji i terapii zwłaszcza dla osób w wieku senioralnym. </w:t>
      </w:r>
    </w:p>
    <w:p>
      <w:pPr>
        <w:pStyle w:val="Normal"/>
        <w:spacing w:lineRule="auto" w:line="240" w:before="0" w:after="0"/>
        <w:jc w:val="both"/>
        <w:rPr>
          <w:rFonts w:ascii="Calibri" w:hAnsi="Calibri" w:eastAsia="Calibri" w:cs="Calibri"/>
          <w:color w:val="000000"/>
        </w:rPr>
      </w:pPr>
      <w:r>
        <w:rPr>
          <w:rFonts w:eastAsia="Calibri" w:cs="Calibri"/>
          <w:color w:val="000000"/>
        </w:rPr>
        <w:t>5. Realizacja programów profilaktyki zdrowotnej.</w:t>
      </w:r>
    </w:p>
    <w:p>
      <w:pPr>
        <w:pStyle w:val="Normal"/>
        <w:spacing w:lineRule="auto" w:line="240" w:before="0" w:after="0"/>
        <w:contextualSpacing/>
        <w:jc w:val="both"/>
        <w:rPr>
          <w:rFonts w:ascii="Calibri" w:hAnsi="Calibri" w:eastAsia="Calibri" w:cs="Times New Roman"/>
        </w:rPr>
      </w:pPr>
      <w:r>
        <w:rPr>
          <w:rFonts w:eastAsia="Times New Roman" w:cs="Calibri"/>
          <w:color w:val="000000"/>
          <w:lang w:eastAsia="pl-PL"/>
        </w:rPr>
        <w:t>6. Ochrona zdrowia mieszkańców:</w:t>
      </w:r>
    </w:p>
    <w:p>
      <w:pPr>
        <w:pStyle w:val="Normal"/>
        <w:spacing w:lineRule="auto" w:line="240" w:before="0" w:after="0"/>
        <w:contextualSpacing/>
        <w:jc w:val="both"/>
        <w:rPr>
          <w:rFonts w:ascii="Calibri" w:hAnsi="Calibri" w:eastAsia="Calibri" w:cs="Times New Roman"/>
        </w:rPr>
      </w:pPr>
      <w:r>
        <w:rPr>
          <w:rFonts w:eastAsia="Times New Roman" w:cs="Calibri"/>
          <w:color w:val="000000"/>
          <w:lang w:eastAsia="pl-PL"/>
        </w:rPr>
        <w:t>- p</w:t>
      </w:r>
      <w:r>
        <w:rPr>
          <w:rFonts w:eastAsia="Calibri" w:cs="Times New Roman"/>
        </w:rPr>
        <w:t>akiety świadczeń zdrowotnych wykraczających poza zakres badań podstawowych,</w:t>
      </w:r>
    </w:p>
    <w:p>
      <w:pPr>
        <w:pStyle w:val="Normal"/>
        <w:spacing w:lineRule="auto" w:line="240" w:before="0" w:after="0"/>
        <w:contextualSpacing/>
        <w:jc w:val="both"/>
        <w:rPr>
          <w:rFonts w:ascii="Calibri" w:hAnsi="Calibri" w:eastAsia="Times New Roman" w:cs="Times New Roman"/>
        </w:rPr>
      </w:pPr>
      <w:r>
        <w:rPr>
          <w:rFonts w:eastAsia="Calibri" w:cs="Times New Roman"/>
        </w:rPr>
        <w:t xml:space="preserve">- </w:t>
      </w:r>
      <w:r>
        <w:rPr>
          <w:rFonts w:eastAsia="Times New Roman" w:cs="Times New Roman"/>
        </w:rPr>
        <w:t>umożliwienie dostępu do specjalistycznych badań lekarskich poprzez uczestnictwo w akcjach ogólnopolskich i z własnej inicjatywy,</w:t>
      </w:r>
    </w:p>
    <w:p>
      <w:pPr>
        <w:pStyle w:val="Normal"/>
        <w:spacing w:lineRule="auto" w:line="240" w:before="0" w:after="0"/>
        <w:contextualSpacing/>
        <w:jc w:val="both"/>
        <w:rPr>
          <w:rFonts w:ascii="Calibri" w:hAnsi="Calibri" w:eastAsia="Calibri" w:cs="Times New Roman"/>
        </w:rPr>
      </w:pPr>
      <w:r>
        <w:rPr>
          <w:rFonts w:eastAsia="Times New Roman" w:cs="Times New Roman"/>
        </w:rPr>
        <w:t xml:space="preserve">- </w:t>
      </w:r>
      <w:r>
        <w:rPr>
          <w:rFonts w:eastAsia="Calibri" w:cs="Times New Roman"/>
        </w:rPr>
        <w:t>pakiety rehabilitacyjne i warsztaty terapeutyczne dla pracowników,</w:t>
      </w:r>
    </w:p>
    <w:p>
      <w:pPr>
        <w:pStyle w:val="Normal"/>
        <w:spacing w:lineRule="auto" w:line="240" w:before="0" w:after="0"/>
        <w:contextualSpacing/>
        <w:jc w:val="both"/>
        <w:rPr>
          <w:rFonts w:ascii="Calibri" w:hAnsi="Calibri" w:eastAsia="Calibri" w:cs="Times New Roman"/>
        </w:rPr>
      </w:pPr>
      <w:r>
        <w:rPr>
          <w:rFonts w:eastAsia="Calibri" w:cs="Times New Roman"/>
        </w:rPr>
        <w:t>- poprawa dostępu do specjalistów, w tym pediatrów,</w:t>
      </w:r>
    </w:p>
    <w:p>
      <w:pPr>
        <w:pStyle w:val="Normal"/>
        <w:spacing w:lineRule="auto" w:line="240" w:before="0" w:after="0"/>
        <w:contextualSpacing/>
        <w:jc w:val="both"/>
        <w:rPr>
          <w:rFonts w:ascii="Calibri" w:hAnsi="Calibri" w:eastAsia="Calibri" w:cs="Times New Roman"/>
        </w:rPr>
      </w:pPr>
      <w:r>
        <w:rPr>
          <w:rFonts w:eastAsia="Calibri" w:cs="Times New Roman"/>
        </w:rPr>
        <w:t>- doposażenie stanowisk pracy w celu poprawy ergonomii i bezpieczeństwa pracy,</w:t>
      </w:r>
    </w:p>
    <w:p>
      <w:pPr>
        <w:pStyle w:val="NoSpacing"/>
        <w:jc w:val="both"/>
        <w:rPr>
          <w:rFonts w:ascii="Calibri" w:hAnsi="Calibri" w:cs="Calibri" w:asciiTheme="minorHAnsi" w:cstheme="minorHAnsi" w:hAnsiTheme="minorHAnsi"/>
        </w:rPr>
      </w:pPr>
      <w:r>
        <w:rPr>
          <w:rFonts w:eastAsia="Times New Roman" w:cs="Calibri"/>
          <w:color w:val="000000"/>
          <w:lang w:eastAsia="pl-PL"/>
        </w:rPr>
        <w:t>7. Zwiększenie dostępu do wysokospecjalistycznej opieki medycznej.</w:t>
      </w:r>
    </w:p>
    <w:p>
      <w:pPr>
        <w:pStyle w:val="NoSpacing"/>
        <w:rPr>
          <w:rFonts w:ascii="Calibri" w:hAnsi="Calibri" w:cs="Calibri" w:asciiTheme="minorHAnsi" w:cstheme="minorHAnsi" w:hAnsiTheme="minorHAnsi"/>
        </w:rPr>
      </w:pPr>
      <w:r>
        <w:rPr>
          <w:rFonts w:cs="Calibri" w:cstheme="minorHAnsi"/>
        </w:rPr>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sz w:val="32"/>
          <w:szCs w:val="32"/>
        </w:rPr>
      </w:pPr>
      <w:bookmarkStart w:id="207" w:name="_Toc69212093"/>
      <w:r>
        <w:rPr>
          <w:rFonts w:cs="Calibri" w:ascii="Calibri" w:hAnsi="Calibri" w:asciiTheme="minorHAnsi" w:cstheme="minorHAnsi" w:hAnsiTheme="minorHAnsi"/>
          <w:i w:val="false"/>
          <w:iCs w:val="false"/>
          <w:sz w:val="32"/>
          <w:szCs w:val="32"/>
        </w:rPr>
        <w:t xml:space="preserve"> </w:t>
      </w:r>
      <w:bookmarkStart w:id="208" w:name="_Toc118887468"/>
      <w:r>
        <w:rPr>
          <w:rFonts w:cs="Calibri" w:ascii="Calibri" w:hAnsi="Calibri" w:asciiTheme="minorHAnsi" w:cstheme="minorHAnsi" w:hAnsiTheme="minorHAnsi"/>
          <w:i w:val="false"/>
          <w:iCs w:val="false"/>
        </w:rPr>
        <w:t>Edukacja i wychowanie</w:t>
      </w:r>
      <w:bookmarkEnd w:id="207"/>
      <w:bookmarkEnd w:id="208"/>
    </w:p>
    <w:p>
      <w:pPr>
        <w:pStyle w:val="NoSpacing"/>
        <w:jc w:val="both"/>
        <w:rPr>
          <w:rFonts w:ascii="Calibri" w:hAnsi="Calibri" w:cs="Calibri" w:asciiTheme="minorHAnsi" w:cstheme="minorHAnsi" w:hAnsiTheme="minorHAnsi"/>
        </w:rPr>
      </w:pPr>
      <w:r>
        <w:rPr>
          <w:rFonts w:cs="Calibri" w:cstheme="minorHAnsi"/>
        </w:rPr>
        <w:t>Edukacja jest bardzo ważną dziedziną życia społecznego, dlatego dla zapewnienia wysokiej jakości kształcenia należy stworzyć spójny i efektywny program działań służących optymalnemu rozwojowi najważniejszych podmiotów edukacji – dziecka na etapie wczesnoszkolnym, ucznia i dorosłego uczestnika kształcenia ustawicznego, a także nauczyciela, zaangażowanego w proces edukacji.</w:t>
      </w:r>
    </w:p>
    <w:p>
      <w:pPr>
        <w:pStyle w:val="NoSpacing"/>
        <w:jc w:val="both"/>
        <w:rPr>
          <w:rFonts w:ascii="Calibri" w:hAnsi="Calibri" w:cs="Calibri" w:asciiTheme="minorHAnsi" w:cstheme="minorHAnsi" w:hAnsiTheme="minorHAnsi"/>
        </w:rPr>
      </w:pPr>
      <w:r>
        <w:rPr>
          <w:rFonts w:cs="Calibri" w:cstheme="minorHAnsi"/>
        </w:rPr>
      </w:r>
    </w:p>
    <w:p>
      <w:pPr>
        <w:pStyle w:val="Normal"/>
        <w:spacing w:lineRule="auto" w:line="240" w:before="0" w:after="0"/>
        <w:jc w:val="both"/>
        <w:rPr>
          <w:rFonts w:cs="Calibri" w:cstheme="minorHAnsi"/>
        </w:rPr>
      </w:pPr>
      <w:r>
        <w:rPr>
          <w:rFonts w:cs="Calibri" w:cstheme="minorHAnsi"/>
        </w:rPr>
        <w:t xml:space="preserve">Na terenie gminy Dwikozy funkcjonuje 8 szkół podstawowych, zaś młodsze dzieci mogły uczęszczać do 7 przedszkoli i jednego żłobka. </w:t>
      </w:r>
    </w:p>
    <w:p>
      <w:pPr>
        <w:pStyle w:val="Normal"/>
        <w:spacing w:lineRule="auto" w:line="240" w:before="0" w:after="0"/>
        <w:jc w:val="both"/>
        <w:rPr>
          <w:rFonts w:cs="Calibri" w:cs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color w:val="000000"/>
          <w:kern w:val="2"/>
          <w:lang w:eastAsia="pl-PL"/>
        </w:rPr>
      </w:pPr>
      <w:bookmarkStart w:id="209" w:name="_Toc118887782"/>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33</w:t>
      </w:r>
      <w:r>
        <w:rPr>
          <w:b w:val="false"/>
          <w:bCs w:val="false"/>
          <w:rFonts w:cs="Calibri"/>
        </w:rPr>
        <w:fldChar w:fldCharType="end"/>
      </w:r>
      <w:r>
        <w:rPr>
          <w:rFonts w:cs="Calibri" w:cstheme="minorHAnsi"/>
          <w:b w:val="false"/>
          <w:bCs w:val="false"/>
        </w:rPr>
        <w:t xml:space="preserve"> Placówki oświatowe  na terenie gminy Dwikozy</w:t>
      </w:r>
      <w:bookmarkEnd w:id="209"/>
    </w:p>
    <w:tbl>
      <w:tblPr>
        <w:tblW w:w="97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68"/>
        <w:gridCol w:w="4398"/>
        <w:gridCol w:w="4768"/>
      </w:tblGrid>
      <w:tr>
        <w:trPr/>
        <w:tc>
          <w:tcPr>
            <w:tcW w:w="9734" w:type="dxa"/>
            <w:gridSpan w:val="3"/>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b/>
                <w:kern w:val="2"/>
                <w:lang w:eastAsia="pl-PL"/>
              </w:rPr>
              <w:t>Szkoły Podstawowe</w:t>
            </w:r>
          </w:p>
        </w:tc>
      </w:tr>
      <w:tr>
        <w:trPr>
          <w:trHeight w:val="26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L.p.</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Segoe UI" w:cs="Calibri" w:cstheme="minorHAnsi"/>
                <w:color w:val="000000"/>
                <w:kern w:val="2"/>
                <w:lang w:eastAsia="pl-PL"/>
              </w:rPr>
              <w:t>Nazwa szkoły</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Organ prowadzący</w:t>
            </w:r>
          </w:p>
        </w:tc>
      </w:tr>
      <w:tr>
        <w:trPr>
          <w:trHeight w:val="681"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1.</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Szkoła Podstawowa im. Powstańców Styczniowych w Dwikozach</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Gmina Dwikozy</w:t>
            </w:r>
          </w:p>
        </w:tc>
      </w:tr>
      <w:tr>
        <w:trPr>
          <w:trHeight w:val="43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2.</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Szkoła Podstawowa im. Ziemi Sandomierskiej w Słupczy</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Inwestujemy w Przyszłość przy Szkole Podstawowej w Słupczy</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3.</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Szkoła Podstawowa im. K. Makuszyńskiego w Gierlachowie</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Przyjaciół Przedszkola i Szkoły w Gierlachowie k. Sandomierza</w:t>
            </w:r>
          </w:p>
        </w:tc>
      </w:tr>
      <w:tr>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4.</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Szkoła Podstawowa  im. Wincentego Burka w Gałkowicach</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Przyjaciół Szkoły im. Wincentego Burka w Gałkowicach k. Sandomierza</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5.</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 xml:space="preserve">Szkoła Podstawowa im. Jana Pawła II </w:t>
              <w:br/>
              <w:t>w Mściowie</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Oświatowo-Kulturalne przy Szkole Podstawowej im. Jana Pawła II w Mściowie</w:t>
            </w:r>
          </w:p>
        </w:tc>
      </w:tr>
      <w:tr>
        <w:trPr>
          <w:trHeight w:val="322"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6.</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 xml:space="preserve">Szkoła Podstawowa </w:t>
              <w:br/>
              <w:t>w Garbowie Nowym</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Stowarzyszenie Edukacyjne im. Zawiszy Czarnego</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7.</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Szkoła Podstawowa w Górach Wysokich</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Stowarzyszenie na Rzecz Ekorozwoju Wsi Góry Wysokie</w:t>
            </w:r>
          </w:p>
        </w:tc>
      </w:tr>
      <w:tr>
        <w:trPr>
          <w:trHeight w:val="225"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8.</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Szkoła Podstawowa w Winiarach</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na Rzecz Ekorozwoju Wsi Winiarki, Winiary, Kępa Chwałowska</w:t>
            </w:r>
          </w:p>
        </w:tc>
      </w:tr>
      <w:tr>
        <w:trPr/>
        <w:tc>
          <w:tcPr>
            <w:tcW w:w="9734" w:type="dxa"/>
            <w:gridSpan w:val="3"/>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uppressAutoHyphens w:val="true"/>
              <w:spacing w:lineRule="auto" w:line="240" w:before="0" w:after="0"/>
              <w:jc w:val="center"/>
              <w:textAlignment w:val="baseline"/>
              <w:rPr>
                <w:rFonts w:eastAsia="Calibri" w:cs="Calibri" w:cstheme="minorHAnsi"/>
                <w:b/>
                <w:b/>
                <w:bCs/>
                <w:kern w:val="2"/>
                <w:lang w:eastAsia="pl-PL"/>
              </w:rPr>
            </w:pPr>
            <w:r>
              <w:rPr>
                <w:rFonts w:eastAsia="Calibri" w:cs="Calibri" w:cstheme="minorHAnsi"/>
                <w:b/>
                <w:bCs/>
                <w:kern w:val="2"/>
                <w:lang w:eastAsia="pl-PL"/>
              </w:rPr>
              <w:t>Przedszkola</w:t>
            </w:r>
          </w:p>
        </w:tc>
      </w:tr>
      <w:tr>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L.p.</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Segoe UI" w:cs="Calibri" w:cstheme="minorHAnsi"/>
                <w:color w:val="000000"/>
                <w:kern w:val="2"/>
                <w:lang w:eastAsia="pl-PL"/>
              </w:rPr>
              <w:t>Nazwa szkoły</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Organ prowadzący</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1.</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Niepubliczne Przedszkole „Tęczowa Kraina” w Gałkowicach</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Stowarzyszenie Przyjaciół Szkoły im. Wincentego Burka w Gałkowicach k. Sandomierza</w:t>
            </w:r>
          </w:p>
        </w:tc>
      </w:tr>
      <w:tr>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2.</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Przedszkole w Górach Wysokich</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Stowarzyszenie na Rzecz Ekorozwoju Wsi Góry Wysokie</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3.</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 xml:space="preserve">Niepubliczne Przedszkole „Lolek” </w:t>
              <w:br/>
              <w:t>w Mściowie</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Oświatowo-Kulturalne przy Szkole Podstawowej im. Jana Pawła II w Mściowie</w:t>
            </w:r>
          </w:p>
        </w:tc>
      </w:tr>
      <w:tr>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4.</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Przedszkole w Gierlachowie</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Przyjaciół Przedszkola i Szkoły w Gierlachowie k. Sandomierza</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5.</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Przedszkole w Winiarach</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kern w:val="2"/>
                <w:lang w:eastAsia="pl-PL"/>
              </w:rPr>
              <w:t>Stowarzyszenie na Rzecz Ekorozwoju Wsi Winiarki, Winiary Kępa Chwałowska</w:t>
            </w:r>
          </w:p>
        </w:tc>
      </w:tr>
      <w:tr>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6.</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Przedszkole Samorządowe w Dwikozach wraz z filiami w Słupczy i Szczytnikach</w:t>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Gmina Dwikozy</w:t>
            </w:r>
          </w:p>
        </w:tc>
      </w:tr>
      <w:tr>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7.</w:t>
            </w:r>
          </w:p>
        </w:tc>
        <w:tc>
          <w:tcPr>
            <w:tcW w:w="439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Przedszkole w Garbowie Nowym</w:t>
            </w:r>
          </w:p>
        </w:tc>
        <w:tc>
          <w:tcPr>
            <w:tcW w:w="47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t>Stowarzyszenie Edukacyjne im. Zawiszy Czarnego</w:t>
            </w:r>
          </w:p>
        </w:tc>
      </w:tr>
      <w:tr>
        <w:trPr/>
        <w:tc>
          <w:tcPr>
            <w:tcW w:w="9734" w:type="dxa"/>
            <w:gridSpan w:val="3"/>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uppressAutoHyphens w:val="true"/>
              <w:spacing w:lineRule="auto" w:line="240" w:before="0" w:after="0"/>
              <w:jc w:val="center"/>
              <w:textAlignment w:val="baseline"/>
              <w:rPr>
                <w:rFonts w:eastAsia="Calibri" w:cs="Calibri" w:cstheme="minorHAnsi"/>
                <w:b/>
                <w:b/>
                <w:bCs/>
                <w:kern w:val="2"/>
                <w:lang w:eastAsia="pl-PL"/>
              </w:rPr>
            </w:pPr>
            <w:r>
              <w:rPr>
                <w:rFonts w:eastAsia="Calibri" w:cs="Calibri" w:cstheme="minorHAnsi"/>
                <w:b/>
                <w:bCs/>
                <w:kern w:val="2"/>
                <w:lang w:eastAsia="pl-PL"/>
              </w:rPr>
              <w:t>Żłobki</w:t>
            </w:r>
          </w:p>
        </w:tc>
      </w:tr>
      <w:tr>
        <w:trPr>
          <w:trHeight w:val="199"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1.</w:t>
            </w:r>
          </w:p>
        </w:tc>
        <w:tc>
          <w:tcPr>
            <w:tcW w:w="4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Calibri" w:cs="Calibri" w:cstheme="minorHAnsi"/>
                <w:color w:val="000000"/>
                <w:kern w:val="2"/>
                <w:lang w:eastAsia="pl-PL"/>
              </w:rPr>
            </w:pPr>
            <w:r>
              <w:rPr>
                <w:rFonts w:eastAsia="Calibri" w:cs="Calibri" w:cstheme="minorHAnsi"/>
                <w:color w:val="000000"/>
                <w:kern w:val="2"/>
                <w:lang w:eastAsia="pl-PL"/>
              </w:rPr>
              <w:t>Żłobek „Dziecięcy Świat” w Mściowie</w:t>
            </w:r>
          </w:p>
          <w:p>
            <w:pPr>
              <w:pStyle w:val="Normal"/>
              <w:widowControl w:val="false"/>
              <w:suppressAutoHyphens w:val="true"/>
              <w:spacing w:lineRule="auto" w:line="240" w:before="0" w:after="0"/>
              <w:jc w:val="center"/>
              <w:textAlignment w:val="baseline"/>
              <w:rPr>
                <w:rFonts w:eastAsia="Calibri" w:cs="Calibri" w:cstheme="minorHAnsi"/>
                <w:kern w:val="2"/>
                <w:lang w:eastAsia="pl-PL"/>
              </w:rPr>
            </w:pPr>
            <w:r>
              <w:rPr>
                <w:rFonts w:eastAsia="Calibri" w:cs="Calibri" w:cstheme="minorHAnsi"/>
                <w:kern w:val="2"/>
                <w:lang w:eastAsia="pl-PL"/>
              </w:rPr>
            </w:r>
          </w:p>
        </w:tc>
        <w:tc>
          <w:tcPr>
            <w:tcW w:w="4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jc w:val="center"/>
              <w:textAlignment w:val="baseline"/>
              <w:rPr>
                <w:rFonts w:eastAsia="Segoe UI" w:cs="Calibri" w:cstheme="minorHAnsi"/>
                <w:color w:val="000000"/>
                <w:kern w:val="2"/>
                <w:lang w:eastAsia="pl-PL"/>
              </w:rPr>
            </w:pPr>
            <w:r>
              <w:rPr>
                <w:rFonts w:eastAsia="Calibri" w:cs="Calibri" w:cstheme="minorHAnsi"/>
                <w:color w:val="000000"/>
                <w:kern w:val="2"/>
                <w:lang w:eastAsia="pl-PL"/>
              </w:rPr>
              <w:t>Prowadzony przy szkole podstawowej przez Spółdzielnię Socjalną „Dziecięcy Świat”</w:t>
            </w:r>
          </w:p>
        </w:tc>
      </w:tr>
    </w:tbl>
    <w:p>
      <w:pPr>
        <w:pStyle w:val="Normal"/>
        <w:widowControl w:val="false"/>
        <w:suppressAutoHyphens w:val="true"/>
        <w:spacing w:lineRule="auto" w:line="240" w:before="0" w:after="0"/>
        <w:jc w:val="center"/>
        <w:textAlignment w:val="baseline"/>
        <w:rPr>
          <w:rFonts w:eastAsia="Calibri" w:cs="Calibri" w:cstheme="minorHAnsi"/>
          <w:i/>
          <w:i/>
          <w:iCs/>
          <w:kern w:val="2"/>
          <w:lang w:eastAsia="pl-PL"/>
        </w:rPr>
      </w:pPr>
      <w:r>
        <w:rPr>
          <w:rFonts w:eastAsia="Calibri" w:cs="Calibri" w:cstheme="minorHAnsi"/>
          <w:i/>
          <w:iCs/>
          <w:kern w:val="2"/>
          <w:lang w:eastAsia="pl-PL"/>
        </w:rPr>
        <w:t>Źródło: opracowanie własne na podstawie danych Urzędu Gminy Dwikozy</w:t>
      </w:r>
    </w:p>
    <w:p>
      <w:pPr>
        <w:pStyle w:val="Normal"/>
        <w:widowControl w:val="false"/>
        <w:suppressAutoHyphens w:val="true"/>
        <w:spacing w:lineRule="auto" w:line="240" w:before="0" w:after="0"/>
        <w:jc w:val="both"/>
        <w:textAlignment w:val="baseline"/>
        <w:rPr>
          <w:rFonts w:eastAsia="Calibri" w:cs="Calibri" w:cstheme="minorHAnsi"/>
          <w:kern w:val="2"/>
          <w:highlight w:val="yellow"/>
          <w:lang w:eastAsia="pl-PL"/>
        </w:rPr>
      </w:pPr>
      <w:r>
        <w:rPr>
          <w:rFonts w:eastAsia="Calibri" w:cs="Calibri" w:cstheme="minorHAnsi"/>
          <w:kern w:val="2"/>
          <w:highlight w:val="yellow"/>
          <w:lang w:eastAsia="pl-PL"/>
        </w:rPr>
      </w:r>
    </w:p>
    <w:p>
      <w:pPr>
        <w:pStyle w:val="NoSpacing"/>
        <w:jc w:val="both"/>
        <w:rPr>
          <w:rFonts w:ascii="Calibri" w:hAnsi="Calibri" w:cs="Calibri" w:asciiTheme="minorHAnsi" w:cstheme="minorHAnsi" w:hAnsiTheme="minorHAnsi"/>
          <w:b/>
          <w:b/>
          <w:bCs/>
        </w:rPr>
      </w:pPr>
      <w:r>
        <w:rPr>
          <w:rFonts w:cs="Calibri" w:cstheme="minorHAnsi"/>
          <w:b/>
          <w:bCs/>
        </w:rPr>
        <w:t>Szkoła Podstawowa im. Powstańców Styczniowych w Dwikozach</w:t>
      </w:r>
    </w:p>
    <w:p>
      <w:pPr>
        <w:pStyle w:val="NoSpacing"/>
        <w:jc w:val="both"/>
        <w:rPr>
          <w:rFonts w:ascii="Calibri" w:hAnsi="Calibri" w:cs="Calibri" w:asciiTheme="minorHAnsi" w:cstheme="minorHAnsi" w:hAnsiTheme="minorHAnsi"/>
        </w:rPr>
      </w:pPr>
      <w:r>
        <w:rPr>
          <w:rFonts w:cs="Calibri" w:cstheme="minorHAnsi"/>
        </w:rPr>
        <w:t xml:space="preserve">W 1919 r. uruchomiono pierwszą w historii szkołę w Dwikozach - jednoklasowa publiczna szkoła powszechna mieściła się początkowo w podworskim budynku, zastąpionym wkrótce przez wynajęty na terenie wsi lokal u p. Jana Brody. Jako pierwszych nauczycieli w tej placówce wymienia się </w:t>
        <w:br/>
        <w:t xml:space="preserve">p. Kornetową, a następnie p. Stolarza. Mimo trudności lokalowych, braku sprzętów i pomocy szkolnych – szkoła ta była dumą wszystkich mieszkańców miejscowości, którzy wreszcie nie musieli posyłać swoich dzieci do odległej, przepełnionej szkoły, mieszczącej się przy parafii w Górach Wysokich. </w:t>
      </w:r>
    </w:p>
    <w:p>
      <w:pPr>
        <w:pStyle w:val="NoSpacing"/>
        <w:jc w:val="both"/>
        <w:rPr>
          <w:rFonts w:ascii="Calibri" w:hAnsi="Calibri" w:cs="Calibri" w:asciiTheme="minorHAnsi" w:cstheme="minorHAnsi" w:hAnsiTheme="minorHAnsi"/>
        </w:rPr>
      </w:pPr>
      <w:r>
        <w:rPr>
          <w:rFonts w:cs="Calibri" w:cstheme="minorHAnsi"/>
        </w:rPr>
        <w:t>Dzięki usilnym staraniom mieszkańców zabiegających o utworzenie na terenie wsi pełnej, siedmioklasowej szkoły powszechnej - otwierającej ich dzieciom drogę do szkół średnich - w 1924 roku rozpoczęto budowę szkoły w Dwikozach. w 1925 roku uroczyście poświęcono i oddano do użytku sześcioklasową szkołę, a po trzech latach utworzono klasę siódmą.</w:t>
      </w:r>
    </w:p>
    <w:p>
      <w:pPr>
        <w:pStyle w:val="NoSpacing"/>
        <w:jc w:val="both"/>
        <w:rPr>
          <w:rFonts w:ascii="Calibri" w:hAnsi="Calibri" w:cs="Calibri" w:asciiTheme="minorHAnsi" w:cstheme="minorHAnsi" w:hAnsi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10" w:name="_Toc118887444"/>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10</w:t>
      </w:r>
      <w:r>
        <w:rPr>
          <w:b w:val="false"/>
          <w:bCs w:val="false"/>
          <w:rFonts w:cs="Calibri"/>
        </w:rPr>
        <w:fldChar w:fldCharType="end"/>
      </w:r>
      <w:r>
        <w:rPr>
          <w:rFonts w:cs="Calibri" w:cstheme="minorHAnsi"/>
          <w:b w:val="false"/>
          <w:bCs w:val="false"/>
        </w:rPr>
        <w:t xml:space="preserve"> Budynek szkoły w Dwikozach</w:t>
      </w:r>
      <w:bookmarkEnd w:id="210"/>
    </w:p>
    <w:p>
      <w:pPr>
        <w:pStyle w:val="NoSpacing"/>
        <w:jc w:val="center"/>
        <w:rPr>
          <w:rFonts w:ascii="Calibri" w:hAnsi="Calibri" w:cs="Calibri" w:asciiTheme="minorHAnsi" w:cstheme="minorHAnsi" w:hAnsiTheme="minorHAnsi"/>
        </w:rPr>
      </w:pPr>
      <w:r>
        <w:rPr/>
        <w:drawing>
          <wp:inline distT="0" distB="0" distL="0" distR="0">
            <wp:extent cx="4907915" cy="3644265"/>
            <wp:effectExtent l="0" t="0" r="0" b="0"/>
            <wp:docPr id="23"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4" descr=""/>
                    <pic:cNvPicPr>
                      <a:picLocks noChangeAspect="1" noChangeArrowheads="1"/>
                    </pic:cNvPicPr>
                  </pic:nvPicPr>
                  <pic:blipFill>
                    <a:blip r:embed="rId32"/>
                    <a:stretch>
                      <a:fillRect/>
                    </a:stretch>
                  </pic:blipFill>
                  <pic:spPr bwMode="auto">
                    <a:xfrm>
                      <a:off x="0" y="0"/>
                      <a:ext cx="4907915" cy="3644265"/>
                    </a:xfrm>
                    <a:prstGeom prst="rect">
                      <a:avLst/>
                    </a:prstGeom>
                  </pic:spPr>
                </pic:pic>
              </a:graphicData>
            </a:graphic>
          </wp:inline>
        </w:drawing>
      </w:r>
    </w:p>
    <w:p>
      <w:pPr>
        <w:pStyle w:val="NoSpacing"/>
        <w:jc w:val="center"/>
        <w:rPr>
          <w:rFonts w:ascii="Calibri" w:hAnsi="Calibri" w:cs="Calibri" w:asciiTheme="minorHAnsi" w:cstheme="minorHAnsi" w:hAnsiTheme="minorHAnsi"/>
          <w:sz w:val="20"/>
          <w:szCs w:val="20"/>
        </w:rPr>
      </w:pPr>
      <w:r>
        <w:rPr>
          <w:rFonts w:cs="Calibri" w:cstheme="minorHAnsi"/>
          <w:sz w:val="20"/>
          <w:szCs w:val="20"/>
        </w:rPr>
        <w:t xml:space="preserve">Źródło: </w:t>
      </w:r>
      <w:hyperlink r:id="rId33">
        <w:r>
          <w:rPr>
            <w:rStyle w:val="Czeinternetowe"/>
            <w:rFonts w:cs="Calibri" w:cstheme="minorHAnsi"/>
            <w:color w:val="auto"/>
            <w:sz w:val="20"/>
            <w:szCs w:val="20"/>
            <w:u w:val="none"/>
          </w:rPr>
          <w:t>http://spdwikozy.c0.pl/index.php?dzial_id=1&amp;tekst_id=68&amp;step=2</w:t>
        </w:r>
      </w:hyperlink>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 xml:space="preserve">Po wybuchu II wojny światowej, szczególny rok szkolny 1939/40 w szkole w Dwikozach zaczęto pod koniec października. Nauczyciele z ówczesnym kierownikiem szkoły, Mikołajem Borkowskim, podjęli pracę mimo braku wynagrodzenia. Z powodu przeznaczenia dolnego piętra szkoły na poczekalnię dla podróżujących koleją – nauka odbywała się na górnym piętrze, bądź na boisku szkolnym. W marcu 1940 r. szkołę zajęły wojska niemieckie i pracę przerwano do czerwca, kiedy to zakończono rok szkolny. Od września 1942 r. kierownikiem szkoły był Wacław Sujak. Do 17 sierpnia 1944 roku </w:t>
        <w:br/>
        <w:t>w szkole odbywała się nauka w zakresie 4 klas z bardzo ograniczonym programem nauczania. Zajęcia często przerywano, gdyż szkołę zajmowało wojsko, szpital, hufiec budowlany, a i trudy wojennej rzeczywistości nie omijały nauczycieli, w 1941 roku jedna z nauczycielek zmarła na gruźlicę. Od roku szkolnego 1945/46 funkcję kierownika szkoły przez niemal 30 lat pełnił Stanisław Krakowiak.</w:t>
      </w:r>
    </w:p>
    <w:p>
      <w:pPr>
        <w:pStyle w:val="NoSpacing"/>
        <w:jc w:val="both"/>
        <w:rPr>
          <w:rFonts w:ascii="Calibri" w:hAnsi="Calibri" w:cs="Calibri" w:asciiTheme="minorHAnsi" w:cstheme="minorHAnsi" w:hAnsiTheme="minorHAnsi"/>
        </w:rPr>
      </w:pPr>
      <w:r>
        <w:rPr>
          <w:rFonts w:cs="Calibri" w:cstheme="minorHAnsi"/>
        </w:rPr>
        <w:t>Z wielkim wysiłkiem rozpoczęto odbudowę zniszczonej części budynku.</w:t>
      </w:r>
    </w:p>
    <w:p>
      <w:pPr>
        <w:pStyle w:val="NoSpacing"/>
        <w:jc w:val="both"/>
        <w:rPr>
          <w:rFonts w:ascii="Calibri" w:hAnsi="Calibri" w:cs="Calibri" w:asciiTheme="minorHAnsi" w:cstheme="minorHAnsi" w:hAnsiTheme="minorHAnsi"/>
        </w:rPr>
      </w:pPr>
      <w:r>
        <w:rPr>
          <w:rFonts w:cs="Calibri" w:cstheme="minorHAnsi"/>
        </w:rPr>
        <w:t xml:space="preserve">Lata powojenne to czas rekordowej liczby uczniów w szkole. W jednym budynku uczyło się około 400 uczniów w 10 –12 oddziałach. W roku szkolnym 1946/47 do szkoły uczęszczało 502 uczniów, </w:t>
        <w:br/>
        <w:t>z którymi w 12 oddziałach pracowało 10 nauczycieli.</w:t>
      </w:r>
    </w:p>
    <w:p>
      <w:pPr>
        <w:pStyle w:val="NoSpacing"/>
        <w:jc w:val="both"/>
        <w:rPr>
          <w:rFonts w:ascii="Calibri" w:hAnsi="Calibri" w:cs="Calibri" w:asciiTheme="minorHAnsi" w:cstheme="minorHAnsi" w:hAnsiTheme="minorHAnsi"/>
        </w:rPr>
      </w:pPr>
      <w:r>
        <w:rPr>
          <w:rFonts w:cs="Calibri" w:cstheme="minorHAnsi"/>
        </w:rPr>
        <w:tab/>
        <w:t>Ażeby takiej liczbie uczniów stworzyć godne warunki do nauki, konieczne okazało się przeprowadzenie gruntownego remontu. W latach 1948 – 1950 wyremontowano piece, zainstalowano drugie okna, wybielono budynek na zewnątrz i wewnątrz, odnowiono klatkę schodową, zelektryfikowano i zradiofonizowano cały obiekt. Zagospodarowano również teren przylegający do Szkoły – wyremontowano pomieszczenia gospodarcze, urządzono szkolny ogród.</w:t>
      </w:r>
    </w:p>
    <w:p>
      <w:pPr>
        <w:pStyle w:val="NoSpacing"/>
        <w:ind w:firstLine="720"/>
        <w:jc w:val="both"/>
        <w:rPr>
          <w:rFonts w:ascii="Calibri" w:hAnsi="Calibri" w:cs="Calibri" w:asciiTheme="minorHAnsi" w:cstheme="minorHAnsi" w:hAnsiTheme="minorHAnsi"/>
        </w:rPr>
      </w:pPr>
      <w:r>
        <w:rPr>
          <w:rFonts w:cs="Calibri" w:cstheme="minorHAnsi"/>
        </w:rPr>
        <w:t xml:space="preserve">W 1959 roku uroczyście obchodzono 40-lecie istnienia szkoły, które uczczono w bardzo szczególny sposób, mianowicie do istniejącego budynku szkolnego dobudowano drugie piętro, które potraktowano jako Pomnik Tysiąclecia Państwa Polskiego. W takim kształcie budynek Szkoły przetrwał do dzisiaj. Od roku 1973/74 Szkoła pełniła funkcję Zbiorczej Szkoły Gminnej, obejmującej </w:t>
        <w:br/>
        <w:t>w swym obwodzie uczniów z sąsiednich wiosek, uczęszczających do szkół filialnych w Kicharach Starych, Rzeczycy Suchej, Górach Wysokich, Gierlachowie. Funkcję Dyrektora Szkoły po roku 1973 pełnili Mieczysław Jasiński, Zofia Przywara, Leszek Lipiński. W tym okresie Szkoła była siedzibą nowych struktur oświatowych - Gminnej Dyrekcji Szkół, a następnie po 1984 r. Inspektoratu Oświaty i Wychowania w Dwikozach. W 1996 roku powstał Komitet Budowy Szkoły. Energicznie prowadzone prace budowlane zaowocowały oddaniem do użytku pierwszego skrzydła już w roku szkolnym 1999/2000. W związku z wymogami reformy oświaty budynek ten przeznaczono na Publiczne Gimnazjum. Jednak z biegiem lat coraz trudniej było sprostać oczekiwaniom stawianym przez postęp cywilizacyjny i zmieniające się programy nauczania, szczególnie w zakresie wychowania fizycznego. Budynek okazał się niewystarczający (za mały i za ciasny) na miarę potrzeb edukacji XXI wieku, by sprostać marzeniom uczniów. Dzięki grupie zaangażowanych entuzjastów pojawiła się nadzieja na zmiany, a wkrótce ich realizacja. W 2005 roku powstał plan budowy, a w 2006 r. dzięki staraniom ówczesnego Wójta śp. Marka Zimnickiego, popartym przez Radę Gminy, uzyskano pozwolenie na budowę Hali Sportowej przy Szkole Podstawowej w Dwikozach. Prace budowlane ruszyły w lipcu 2007 r. i trwały do grudnia 2008 r.</w:t>
      </w:r>
    </w:p>
    <w:p>
      <w:pPr>
        <w:pStyle w:val="NoSpacing"/>
        <w:jc w:val="both"/>
        <w:rPr>
          <w:rFonts w:ascii="Calibri" w:hAnsi="Calibri" w:cs="Calibri" w:asciiTheme="minorHAnsi" w:cstheme="minorHAnsi" w:hAnsiTheme="minorHAnsi"/>
        </w:rPr>
      </w:pPr>
      <w:r>
        <w:rPr>
          <w:rFonts w:cs="Calibri" w:cstheme="minorHAnsi"/>
        </w:rPr>
        <w:tab/>
        <w:t>W obecnym kształcie obiekt obejmuje salę gimnastyczną o powierzchni 992 m², pokój dla nauczycieli, pomieszczenia z natryskami i przebieralnie dla chłopców i dla dziewcząt, galerię widokową dla publiczności, siłownię, pomieszczenia do aerobiku i tenisa stołowego, gabinet kultury fizycznej.</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b/>
          <w:bCs/>
        </w:rPr>
        <w:t>Szkoła Podstawowa w Słupczy</w:t>
      </w:r>
      <w:r>
        <w:rPr>
          <w:rFonts w:cs="Calibri" w:cstheme="minorHAnsi"/>
        </w:rPr>
        <w:t xml:space="preserve"> </w:t>
      </w:r>
    </w:p>
    <w:p>
      <w:pPr>
        <w:pStyle w:val="NoSpacing"/>
        <w:jc w:val="both"/>
        <w:rPr>
          <w:rFonts w:ascii="Calibri" w:hAnsi="Calibri" w:cs="Calibri" w:asciiTheme="minorHAnsi" w:cstheme="minorHAnsi" w:hAnsiTheme="minorHAnsi"/>
        </w:rPr>
      </w:pPr>
      <w:r>
        <w:rPr>
          <w:rFonts w:cs="Calibri" w:cstheme="minorHAnsi"/>
        </w:rPr>
        <w:t xml:space="preserve">W 1886r. powstała 4-oddziałowa Szkoła Początkowa, w której uczył do 1918 r. tylko jeden nauczyciel – pan Filipczak. Szkoła ta mieściła się w drewnianym budynku na wzgórzu przy drodze Sandomierz - Zawichost. Budynek ten jednak spłonął w czasie pożaru. W 1901 roku wybudowano murowaną szkołę, która istniała do 1944 r. W tej szkole uczyły się dzieci ze Słupczy, Szczytnik, Winiarek, Winiar </w:t>
        <w:br/>
        <w:t xml:space="preserve">i Czermina. Po roku 1918 w szkole pracowało 2 nauczycieli. Jednym z nich był Mikołaj Dywan, który pełnił jednocześnie do 1937 roku funkcję kierownika. Po nim kierownictwo w szkole przejął Antoni Witek. Po 1943 roku ludność została wysiedlona, a szkołę zamknięto. W 1944 roku, w czasie działań wojennych budynek szkolny został częściowo zburzony. Po odzyskaniu niepodległości dzieci z terenu Słupczy i Szczytnik uczyły się w szkole w Dwikozach. W latach 1952 - 53 zniszczony podczas wojny budynek szkolny został z inicjatywy Józefa Sznajdra odbudowany i we wrześniu 1953 roku szkoła </w:t>
        <w:br/>
        <w:t>w Słupczy wznowiła swoją działalność.</w:t>
      </w:r>
    </w:p>
    <w:p>
      <w:pPr>
        <w:pStyle w:val="NoSpacing"/>
        <w:ind w:firstLine="720"/>
        <w:jc w:val="both"/>
        <w:rPr>
          <w:rFonts w:ascii="Calibri" w:hAnsi="Calibri" w:cs="Calibri" w:asciiTheme="minorHAnsi" w:cstheme="minorHAnsi" w:hAnsiTheme="minorHAnsi"/>
        </w:rPr>
      </w:pPr>
      <w:r>
        <w:rPr>
          <w:rFonts w:cs="Calibri" w:cstheme="minorHAnsi"/>
        </w:rPr>
        <w:t xml:space="preserve">Ze względu na trudne warunki lokalowe zbudowano drewniany barak, w którym przygotowano trzy sale lekcyjne. Barak stanął na placu, na którym stoi obecna szkoła. Z inicjatywy kierowniczki Marii Leżuch zawiązany został Komitet Budowy Szkoły, który zaczął gromadzić fundusze na budowę nowego obiektu szkolnego. Kolejne lata przynosiły wzrost liczby uczniów, a co za tym idzie również liczby etatów nauczycielskich. W 1967 roku w wyniku reformy oświatowej wprowadzono VIII klasę. W roku szkolnym 1967/68 do szkoły uczęszczała rekordowa liczba uczniów - 244. Szkoła mieściła się w trzech odległych budynkach co znacznie utrudniało pracę dydaktyczno - wychowawczą. Konieczna stała się jak najszybsza budowa nowej szkoły. 2 stycznia 1978 roku piękne mury nowej placówki przyjęły do swoich pomieszczeń prawie 200 uczniów. Rozpoczęto pracę </w:t>
        <w:br/>
        <w:t>w nowym systemie klasopracowni. Zagospodarowano również teren wokół szkoły.</w:t>
      </w:r>
    </w:p>
    <w:p>
      <w:pPr>
        <w:pStyle w:val="NoSpacing"/>
        <w:jc w:val="both"/>
        <w:rPr>
          <w:rFonts w:ascii="Calibri" w:hAnsi="Calibri" w:cs="Calibri" w:asciiTheme="minorHAnsi" w:cstheme="minorHAnsi" w:hAnsiTheme="minorHAnsi"/>
        </w:rPr>
      </w:pPr>
      <w:r>
        <w:rPr>
          <w:rFonts w:cs="Calibri" w:cstheme="minorHAnsi"/>
        </w:rPr>
      </w:r>
    </w:p>
    <w:p>
      <w:pPr>
        <w:pStyle w:val="Normal"/>
        <w:rPr>
          <w:rFonts w:eastAsia="Calibri" w:cs="Calibri" w:cstheme="minorHAnsi"/>
          <w:sz w:val="20"/>
          <w:szCs w:val="20"/>
        </w:rPr>
      </w:pPr>
      <w:r>
        <w:rPr>
          <w:rFonts w:eastAsia="Calibri" w:cs="Calibri" w:cstheme="minorHAnsi"/>
          <w:sz w:val="20"/>
          <w:szCs w:val="20"/>
        </w:rPr>
      </w:r>
      <w:r>
        <w:br w:type="page"/>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11" w:name="_Toc118887445"/>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11</w:t>
      </w:r>
      <w:r>
        <w:rPr>
          <w:b w:val="false"/>
          <w:bCs w:val="false"/>
          <w:rFonts w:cs="Calibri"/>
        </w:rPr>
        <w:fldChar w:fldCharType="end"/>
      </w:r>
      <w:r>
        <w:rPr>
          <w:rFonts w:cs="Calibri" w:cstheme="minorHAnsi"/>
          <w:b w:val="false"/>
          <w:bCs w:val="false"/>
        </w:rPr>
        <w:t xml:space="preserve"> Budynek szkoły w Słupczy z 1978r.</w:t>
      </w:r>
      <w:bookmarkEnd w:id="211"/>
    </w:p>
    <w:p>
      <w:pPr>
        <w:pStyle w:val="NoSpacing"/>
        <w:jc w:val="center"/>
        <w:rPr>
          <w:rFonts w:ascii="Calibri" w:hAnsi="Calibri" w:cs="Calibri" w:asciiTheme="minorHAnsi" w:cstheme="minorHAnsi" w:hAnsiTheme="minorHAnsi"/>
        </w:rPr>
      </w:pPr>
      <w:r>
        <w:rPr/>
        <w:drawing>
          <wp:inline distT="0" distB="0" distL="0" distR="0">
            <wp:extent cx="4754880" cy="2674620"/>
            <wp:effectExtent l="0" t="0" r="0" b="0"/>
            <wp:docPr id="24"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6" descr=""/>
                    <pic:cNvPicPr>
                      <a:picLocks noChangeAspect="1" noChangeArrowheads="1"/>
                    </pic:cNvPicPr>
                  </pic:nvPicPr>
                  <pic:blipFill>
                    <a:blip r:embed="rId34"/>
                    <a:stretch>
                      <a:fillRect/>
                    </a:stretch>
                  </pic:blipFill>
                  <pic:spPr bwMode="auto">
                    <a:xfrm>
                      <a:off x="0" y="0"/>
                      <a:ext cx="4754880" cy="2674620"/>
                    </a:xfrm>
                    <a:prstGeom prst="rect">
                      <a:avLst/>
                    </a:prstGeom>
                  </pic:spPr>
                </pic:pic>
              </a:graphicData>
            </a:graphic>
          </wp:inline>
        </w:drawing>
      </w:r>
    </w:p>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https://sites.google.com/site/szpslupcza/szko%C5%82a-dzisiaj_1/historia-szkoly</w:t>
      </w:r>
    </w:p>
    <w:p>
      <w:pPr>
        <w:pStyle w:val="NoSpacing"/>
        <w:jc w:val="center"/>
        <w:rPr>
          <w:rFonts w:ascii="Calibri" w:hAnsi="Calibri" w:cs="Calibri" w:asciiTheme="minorHAnsi" w:cstheme="minorHAnsi" w:hAnsiTheme="minorHAnsi"/>
        </w:rPr>
      </w:pPr>
      <w:r>
        <w:rPr>
          <w:rFonts w:cs="Calibri" w:cstheme="minorHAnsi"/>
        </w:rPr>
      </w:r>
    </w:p>
    <w:p>
      <w:pPr>
        <w:pStyle w:val="NoSpacing"/>
        <w:ind w:firstLine="720"/>
        <w:jc w:val="both"/>
        <w:rPr>
          <w:rFonts w:ascii="Calibri" w:hAnsi="Calibri" w:cs="Calibri" w:asciiTheme="minorHAnsi" w:cstheme="minorHAnsi" w:hAnsiTheme="minorHAnsi"/>
        </w:rPr>
      </w:pPr>
      <w:r>
        <w:rPr>
          <w:rFonts w:cs="Calibri" w:cstheme="minorHAnsi"/>
          <w:color w:val="212121"/>
        </w:rPr>
        <w:t>W 2000 roku na skutek kolejnej reformy oświatowej szkoła zaczęła funkcjonować jako sześcioklasowa szkoła podstawowa. W 2003 roku szkoła przyjęła imię Ziemi Sandomierskiej. </w:t>
      </w:r>
    </w:p>
    <w:p>
      <w:pPr>
        <w:pStyle w:val="NoSpacing"/>
        <w:ind w:firstLine="720"/>
        <w:jc w:val="both"/>
        <w:rPr>
          <w:rFonts w:ascii="Calibri" w:hAnsi="Calibri" w:cs="Calibri" w:asciiTheme="minorHAnsi" w:cstheme="minorHAnsi" w:hAnsiTheme="minorHAnsi"/>
        </w:rPr>
      </w:pPr>
      <w:r>
        <w:rPr>
          <w:rFonts w:cs="Calibri" w:cstheme="minorHAnsi"/>
        </w:rPr>
        <w:t>Na przestrzeni ostatnich lat zauważa się systematyczny spadek liczby dzieci w wieku szkolnym</w:t>
      </w:r>
      <w:bookmarkStart w:id="212" w:name="_Hlk40991262"/>
      <w:r>
        <w:rPr>
          <w:rFonts w:cs="Calibri" w:cstheme="minorHAnsi"/>
        </w:rPr>
        <w:t xml:space="preserve">, co spowodowało, że od roku szkolnego 2012/2013 organem prowadzącym szkołę jest Stowarzyszenie Inwestujemy w Przyszłość. Od początku swojej działalności zarząd stowarzyszenia podejmuje działania mające na celu rozwój placówki m.in. poprzez realizację projektów unijnych. </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b/>
          <w:b/>
          <w:bCs/>
        </w:rPr>
      </w:pPr>
      <w:r>
        <w:rPr>
          <w:rFonts w:cs="Calibri" w:cstheme="minorHAnsi"/>
          <w:b/>
          <w:bCs/>
          <w:color w:val="000000"/>
          <w:kern w:val="2"/>
          <w:lang w:eastAsia="pl-PL"/>
        </w:rPr>
        <w:t>Szkoła Podstawowa im. K. Makuszyńskiego w Gierlachowie</w:t>
      </w:r>
    </w:p>
    <w:p>
      <w:pPr>
        <w:pStyle w:val="NoSpacing"/>
        <w:jc w:val="both"/>
        <w:rPr>
          <w:rFonts w:ascii="Calibri" w:hAnsi="Calibri" w:cs="Calibri" w:asciiTheme="minorHAnsi" w:cstheme="minorHAnsi" w:hAnsiTheme="minorHAnsi"/>
        </w:rPr>
      </w:pPr>
      <w:r>
        <w:rPr>
          <w:rFonts w:cs="Calibri" w:cstheme="minorHAnsi"/>
        </w:rPr>
        <w:t>Pierwsza wzmianka o szkole w Gierlachowie wskazuje na rok 1933. Naukę zorganizowano wówczas w prywatnych domach. Dzieci uczył kierownik p. Ostrowski i nauczycielka p. Uchańska. W latach powojennych nauka nadal odbywała się w prywatnych domach. Zasadniczy budynek szkoły wynajęty był od osoby prywatnej. Mieściły się w nim trzy izby lekcyjne. Klasy często łączono, a dzieci chodziły na lekcje do różnych budynków (okresowo nawet w trzech domach). Lekcje wychowania fizycznego odbywały się na zewnątrz. W szkole uczyło się nawet do 170 uczniów (25-33 uczniów w jednej klasie). Od 1 września 1962 r. kierownictwo szkoły objął pan Mieczysław Jakóbczak. Wtedy właśnie rozpoczęły się starania o budowę szkoły. Ludność wsi opodatkowała się na wysoką jak na ówczesne czasy kwotą 500 zł od domu, którą rozłożono na dwie raty. Dzięki ogromnemu zaangażowaniu nauczycieli i mieszkańców udało się zebrać potrzebną sumę. W 1963 r. rozpoczęto budowę na uprzednio przygotowanej działce. Po zgromadzeniu materiału budowlanego, wiosną odbyła się, uroczystość wmurowania kamienia węgielnego z aktem erekcyjnym. 15 grudnia 1964 roku młodzież rozpoczęła naukę w pięknej nowo wybudowanej szkole. Otwarcia budynku szkoły dokonali przedstawiciele ówczesnych władz lokalnych: p. Dycha i p. Poniewierski. W budynku mieściło się 5 sal lekcyjnych, dwie klasopracownie, sala gimnastyczna, świetlica z kuchennym zapleczem oraz biblioteka. Placówka była bardzo dobrze wyposażona i nowoczesna jak na owe czasy, chociaż ogrzewana piecami.</w:t>
      </w:r>
    </w:p>
    <w:p>
      <w:pPr>
        <w:pStyle w:val="NoSpacing"/>
        <w:jc w:val="both"/>
        <w:rPr>
          <w:rFonts w:ascii="Calibri" w:hAnsi="Calibri" w:cs="Calibri" w:asciiTheme="minorHAnsi" w:cstheme="minorHAnsi" w:hAnsiTheme="minorHAnsi"/>
        </w:rPr>
      </w:pPr>
      <w:r>
        <w:rPr>
          <w:rFonts w:cs="Calibri" w:cstheme="minorHAnsi"/>
        </w:rPr>
        <w:t>Z inicjatywy pani dyrektor Mirosławy Jawornik podjęto starania o nadanie szkole imienia. Postacią wybraną wspólnie przez uczniów, nauczycieli i rodziców na patrona szkoły został Kornel Makuszyński. W roku szkolnym 2003/2004 miała miejsce zbiórka pieniędzy na zakup sztandaru. Uroczystość nadania szkole imienia odbyła się 22 czerwca 2005r.</w:t>
      </w:r>
    </w:p>
    <w:p>
      <w:pPr>
        <w:pStyle w:val="NoSpacing"/>
        <w:jc w:val="both"/>
        <w:rPr>
          <w:rFonts w:ascii="Calibri" w:hAnsi="Calibri" w:cs="Calibri" w:asciiTheme="minorHAnsi" w:cstheme="minorHAnsi" w:hAnsiTheme="minorHAnsi"/>
        </w:rPr>
      </w:pPr>
      <w:r>
        <w:rPr>
          <w:rFonts w:cs="Calibri" w:cstheme="minorHAnsi"/>
        </w:rPr>
        <w:t>W latach 1996 – 2012 w szkole:</w:t>
      </w:r>
    </w:p>
    <w:p>
      <w:pPr>
        <w:pStyle w:val="NoSpacing"/>
        <w:numPr>
          <w:ilvl w:val="0"/>
          <w:numId w:val="70"/>
        </w:numPr>
        <w:jc w:val="both"/>
        <w:rPr>
          <w:rFonts w:ascii="Calibri" w:hAnsi="Calibri" w:cs="Calibri" w:asciiTheme="minorHAnsi" w:cstheme="minorHAnsi" w:hAnsiTheme="minorHAnsi"/>
        </w:rPr>
      </w:pPr>
      <w:r>
        <w:rPr>
          <w:rFonts w:cs="Calibri" w:cstheme="minorHAnsi"/>
        </w:rPr>
        <w:t xml:space="preserve">wymieniono stolarkę okienną, dach i wykonano nową elewacją, </w:t>
      </w:r>
    </w:p>
    <w:p>
      <w:pPr>
        <w:pStyle w:val="NoSpacing"/>
        <w:numPr>
          <w:ilvl w:val="0"/>
          <w:numId w:val="70"/>
        </w:numPr>
        <w:jc w:val="both"/>
        <w:rPr>
          <w:rFonts w:ascii="Calibri" w:hAnsi="Calibri" w:cs="Calibri" w:asciiTheme="minorHAnsi" w:cstheme="minorHAnsi" w:hAnsiTheme="minorHAnsi"/>
        </w:rPr>
      </w:pPr>
      <w:r>
        <w:rPr>
          <w:rFonts w:cs="Calibri" w:cstheme="minorHAnsi"/>
        </w:rPr>
        <w:t>przeprowadzono remont i modernizację kuchni i łazienek,</w:t>
      </w:r>
    </w:p>
    <w:p>
      <w:pPr>
        <w:pStyle w:val="NoSpacing"/>
        <w:numPr>
          <w:ilvl w:val="0"/>
          <w:numId w:val="70"/>
        </w:numPr>
        <w:jc w:val="both"/>
        <w:rPr>
          <w:rFonts w:ascii="Calibri" w:hAnsi="Calibri" w:cs="Calibri" w:asciiTheme="minorHAnsi" w:cstheme="minorHAnsi" w:hAnsiTheme="minorHAnsi"/>
        </w:rPr>
      </w:pPr>
      <w:r>
        <w:rPr>
          <w:rFonts w:cs="Calibri" w:cstheme="minorHAnsi"/>
        </w:rPr>
        <w:t>wyremontowano pomieszczenia biblioteki szkolnej i pokoju nauczycielskiego,</w:t>
      </w:r>
    </w:p>
    <w:p>
      <w:pPr>
        <w:pStyle w:val="NoSpacing"/>
        <w:numPr>
          <w:ilvl w:val="0"/>
          <w:numId w:val="70"/>
        </w:numPr>
        <w:jc w:val="both"/>
        <w:rPr>
          <w:rFonts w:ascii="Calibri" w:hAnsi="Calibri" w:cs="Calibri" w:asciiTheme="minorHAnsi" w:cstheme="minorHAnsi" w:hAnsiTheme="minorHAnsi"/>
        </w:rPr>
      </w:pPr>
      <w:r>
        <w:rPr>
          <w:rFonts w:cs="Calibri" w:cstheme="minorHAnsi"/>
        </w:rPr>
        <w:t xml:space="preserve">wymieniono podłogi w pomieszczeniach na parterze, </w:t>
      </w:r>
    </w:p>
    <w:p>
      <w:pPr>
        <w:pStyle w:val="NoSpacing"/>
        <w:numPr>
          <w:ilvl w:val="0"/>
          <w:numId w:val="70"/>
        </w:numPr>
        <w:jc w:val="both"/>
        <w:rPr>
          <w:rFonts w:ascii="Calibri" w:hAnsi="Calibri" w:cs="Calibri" w:asciiTheme="minorHAnsi" w:cstheme="minorHAnsi" w:hAnsiTheme="minorHAnsi"/>
        </w:rPr>
      </w:pPr>
      <w:r>
        <w:rPr>
          <w:rFonts w:cs="Calibri" w:cstheme="minorHAnsi"/>
        </w:rPr>
        <w:t>zmodernizowano instalację elektryczną, oraz</w:t>
      </w:r>
    </w:p>
    <w:p>
      <w:pPr>
        <w:pStyle w:val="NoSpacing"/>
        <w:numPr>
          <w:ilvl w:val="0"/>
          <w:numId w:val="70"/>
        </w:numPr>
        <w:jc w:val="both"/>
        <w:rPr>
          <w:rFonts w:ascii="Calibri" w:hAnsi="Calibri" w:cs="Calibri" w:asciiTheme="minorHAnsi" w:cstheme="minorHAnsi" w:hAnsiTheme="minorHAnsi"/>
        </w:rPr>
      </w:pPr>
      <w:r>
        <w:rPr>
          <w:rFonts w:cs="Calibri" w:cstheme="minorHAnsi"/>
        </w:rPr>
        <w:t xml:space="preserve">powstały: nowoczesna pracownia komputerowa i multimedialne centrum biblioteczne, </w:t>
      </w:r>
    </w:p>
    <w:p>
      <w:pPr>
        <w:pStyle w:val="NoSpacing"/>
        <w:numPr>
          <w:ilvl w:val="0"/>
          <w:numId w:val="70"/>
        </w:numPr>
        <w:jc w:val="both"/>
        <w:rPr>
          <w:rFonts w:ascii="Calibri" w:hAnsi="Calibri" w:cs="Calibri" w:asciiTheme="minorHAnsi" w:cstheme="minorHAnsi" w:hAnsiTheme="minorHAnsi"/>
        </w:rPr>
      </w:pPr>
      <w:r>
        <w:rPr>
          <w:rFonts w:cs="Calibri" w:cstheme="minorHAnsi"/>
        </w:rPr>
        <w:t xml:space="preserve">wymieniono większość mebli szkolnych. </w:t>
      </w:r>
    </w:p>
    <w:p>
      <w:pPr>
        <w:pStyle w:val="NoSpacing"/>
        <w:jc w:val="both"/>
        <w:rPr>
          <w:rFonts w:ascii="Calibri" w:hAnsi="Calibri" w:cs="Calibri" w:asciiTheme="minorHAnsi" w:cstheme="minorHAnsi" w:hAnsiTheme="minorHAnsi"/>
        </w:rPr>
      </w:pPr>
      <w:r>
        <w:rPr>
          <w:rFonts w:cs="Calibri" w:cstheme="minorHAnsi"/>
        </w:rPr>
        <w:t>Od 2008 roku przy szkole działa punkt przedszkolny.</w:t>
      </w:r>
    </w:p>
    <w:p>
      <w:pPr>
        <w:pStyle w:val="NoSpacing"/>
        <w:jc w:val="both"/>
        <w:rPr>
          <w:rFonts w:ascii="Calibri" w:hAnsi="Calibri" w:cs="Calibri" w:asciiTheme="minorHAnsi" w:cstheme="minorHAnsi" w:hAnsiTheme="minorHAnsi"/>
        </w:rPr>
      </w:pPr>
      <w:r>
        <w:rPr>
          <w:rFonts w:cs="Calibri" w:cstheme="minorHAnsi"/>
        </w:rPr>
        <w:t>7 grudnia 2011 roku Rada Gminy Dwikozy podjęła uchwałę w sprawie likwidacji 5-ciu placówek oświatowych w tym szkoły w Gierlachowie. Od września 2012 placówka funkcjonuje jako szkoła stowarzyszeniowa.</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b/>
          <w:b/>
          <w:bCs/>
        </w:rPr>
      </w:pPr>
      <w:r>
        <w:rPr>
          <w:rFonts w:cs="Calibri" w:cstheme="minorHAnsi"/>
          <w:b/>
          <w:bCs/>
        </w:rPr>
        <w:t>Szkoła Podstawowa  im. Wincentego Burka w Gałkowicach</w:t>
      </w:r>
    </w:p>
    <w:p>
      <w:pPr>
        <w:pStyle w:val="NoSpacing"/>
        <w:jc w:val="both"/>
        <w:rPr>
          <w:rFonts w:ascii="Calibri" w:hAnsi="Calibri" w:cs="Calibri" w:asciiTheme="minorHAnsi" w:cstheme="minorHAnsi" w:hAnsiTheme="minorHAnsi"/>
        </w:rPr>
      </w:pPr>
      <w:r>
        <w:rPr>
          <w:rFonts w:cs="Calibri" w:cstheme="minorHAnsi"/>
        </w:rPr>
        <w:t xml:space="preserve">1945 – powstaje szkoła w Gałkowicach z jedną salą dla klas I – II pod kierunkiem nauczycielki Genowefy Komorowskiej, przy udziale komitetu w składzie: Mateusz Kwietniewski, Franciszek Wrzosek, Stanisław Żmuda. </w:t>
      </w:r>
    </w:p>
    <w:p>
      <w:pPr>
        <w:pStyle w:val="NoSpacing"/>
        <w:jc w:val="both"/>
        <w:rPr>
          <w:rFonts w:ascii="Calibri" w:hAnsi="Calibri" w:cs="Calibri" w:asciiTheme="minorHAnsi" w:cstheme="minorHAnsi" w:hAnsiTheme="minorHAnsi"/>
        </w:rPr>
      </w:pPr>
      <w:r>
        <w:rPr>
          <w:rFonts w:cs="Calibri" w:cstheme="minorHAnsi"/>
        </w:rPr>
        <w:t>1946 – 1947 – powstają następne klasy III i IV</w:t>
      </w:r>
    </w:p>
    <w:p>
      <w:pPr>
        <w:pStyle w:val="NoSpacing"/>
        <w:jc w:val="both"/>
        <w:rPr>
          <w:rFonts w:ascii="Calibri" w:hAnsi="Calibri" w:cs="Calibri" w:asciiTheme="minorHAnsi" w:cstheme="minorHAnsi" w:hAnsiTheme="minorHAnsi"/>
        </w:rPr>
      </w:pPr>
      <w:r>
        <w:rPr>
          <w:rFonts w:cs="Calibri" w:cstheme="minorHAnsi"/>
        </w:rPr>
        <w:t xml:space="preserve">1953 – 1955 – podwyższono stopień organizacyjny do  6 oddziałów, nowym kierownikiem jest </w:t>
        <w:br/>
        <w:t>p. Henryka Rycombel.</w:t>
      </w:r>
    </w:p>
    <w:p>
      <w:pPr>
        <w:pStyle w:val="NoSpacing"/>
        <w:jc w:val="both"/>
        <w:rPr>
          <w:rFonts w:ascii="Calibri" w:hAnsi="Calibri" w:cs="Calibri" w:asciiTheme="minorHAnsi" w:cstheme="minorHAnsi" w:hAnsiTheme="minorHAnsi"/>
        </w:rPr>
      </w:pPr>
      <w:r>
        <w:rPr>
          <w:rFonts w:cs="Calibri" w:cstheme="minorHAnsi"/>
        </w:rPr>
        <w:t>1956 – 1957 – zostaje podjęta decyzja o budowie nowego budynku szkolnego.</w:t>
      </w:r>
    </w:p>
    <w:p>
      <w:pPr>
        <w:pStyle w:val="NoSpacing"/>
        <w:jc w:val="both"/>
        <w:rPr>
          <w:rFonts w:ascii="Calibri" w:hAnsi="Calibri" w:cs="Calibri" w:asciiTheme="minorHAnsi" w:cstheme="minorHAnsi" w:hAnsiTheme="minorHAnsi"/>
        </w:rPr>
      </w:pPr>
      <w:r>
        <w:rPr>
          <w:rFonts w:cs="Calibri" w:cstheme="minorHAnsi"/>
        </w:rPr>
        <w:t xml:space="preserve">1964 – 1967 – zmniejszono stopień organizacyjny szkoły do 4 oddziałów. Następuje zmiana kadry pedagogicznej. </w:t>
      </w:r>
    </w:p>
    <w:p>
      <w:pPr>
        <w:pStyle w:val="NoSpacing"/>
        <w:jc w:val="both"/>
        <w:rPr>
          <w:rFonts w:ascii="Calibri" w:hAnsi="Calibri" w:cs="Calibri" w:asciiTheme="minorHAnsi" w:cstheme="minorHAnsi" w:hAnsiTheme="minorHAnsi"/>
        </w:rPr>
      </w:pPr>
      <w:r>
        <w:rPr>
          <w:rFonts w:cs="Calibri" w:cstheme="minorHAnsi"/>
        </w:rPr>
        <w:t xml:space="preserve">1967 – 1968 – budynek szkolny  znajduje się w stanie fatalnym. Zawiązuje się Komitet budowy </w:t>
        <w:br/>
        <w:t>w składzie: Tadeusz Mazur, Stanisław Szpara, Jan Łukasiewicz,  Józef Pawlica, Lucjan Łukasiewicz.</w:t>
      </w:r>
    </w:p>
    <w:p>
      <w:pPr>
        <w:pStyle w:val="NoSpacing"/>
        <w:jc w:val="both"/>
        <w:rPr>
          <w:rFonts w:ascii="Calibri" w:hAnsi="Calibri" w:cs="Calibri" w:asciiTheme="minorHAnsi" w:cstheme="minorHAnsi" w:hAnsiTheme="minorHAnsi"/>
        </w:rPr>
      </w:pPr>
      <w:r>
        <w:rPr>
          <w:rFonts w:cs="Calibri" w:cstheme="minorHAnsi"/>
        </w:rPr>
        <w:t>1968 – 1972 – następuje budowa szkoły. Dzięki zaangażowaniu środowiska lokalnego oddano 2 sale lekcyjne i jedno mieszkanie.</w:t>
      </w:r>
    </w:p>
    <w:p>
      <w:pPr>
        <w:pStyle w:val="NoSpacing"/>
        <w:jc w:val="both"/>
        <w:rPr>
          <w:rFonts w:ascii="Calibri" w:hAnsi="Calibri" w:cs="Calibri" w:asciiTheme="minorHAnsi" w:cstheme="minorHAnsi" w:hAnsiTheme="minorHAnsi"/>
        </w:rPr>
      </w:pPr>
      <w:r>
        <w:rPr>
          <w:rFonts w:cs="Calibri" w:cstheme="minorHAnsi"/>
        </w:rPr>
        <w:t xml:space="preserve">1971 – 1972 – wybudowano część szkoły; dzięki ofiarności społeczeństwa, aktywności Komitetu </w:t>
        <w:br/>
        <w:t>i zaangażowaniu dyrektora szkoły Stanisława Marca oddano do użytku dwie sale lekcyjne.</w:t>
      </w:r>
    </w:p>
    <w:p>
      <w:pPr>
        <w:pStyle w:val="NoSpacing"/>
        <w:jc w:val="both"/>
        <w:rPr>
          <w:rFonts w:ascii="Calibri" w:hAnsi="Calibri" w:cs="Calibri" w:asciiTheme="minorHAnsi" w:cstheme="minorHAnsi" w:hAnsiTheme="minorHAnsi"/>
        </w:rPr>
      </w:pPr>
      <w:r>
        <w:rPr>
          <w:rFonts w:cs="Calibri" w:cstheme="minorHAnsi"/>
        </w:rPr>
        <w:t>1974 –1980 – piętro skończone w stanie surowym; władze oświatowe zmniejszają stopień organizacyjny do 2 oddziałów</w:t>
      </w:r>
    </w:p>
    <w:p>
      <w:pPr>
        <w:pStyle w:val="NoSpacing"/>
        <w:jc w:val="both"/>
        <w:rPr>
          <w:rFonts w:ascii="Calibri" w:hAnsi="Calibri" w:cs="Calibri" w:asciiTheme="minorHAnsi" w:cstheme="minorHAnsi" w:hAnsiTheme="minorHAnsi"/>
        </w:rPr>
      </w:pPr>
      <w:r>
        <w:rPr>
          <w:rFonts w:cs="Calibri" w:cstheme="minorHAnsi"/>
        </w:rPr>
        <w:t xml:space="preserve">1982 – podniesiono stopień organizacyjny szkoły do 8 klas; kierownikiem szkoły ponownie zostaje </w:t>
        <w:br/>
        <w:t>p. Stanisław Marzec.</w:t>
      </w:r>
    </w:p>
    <w:p>
      <w:pPr>
        <w:pStyle w:val="NoSpacing"/>
        <w:jc w:val="both"/>
        <w:rPr>
          <w:rFonts w:ascii="Calibri" w:hAnsi="Calibri" w:cs="Calibri" w:asciiTheme="minorHAnsi" w:cstheme="minorHAnsi" w:hAnsiTheme="minorHAnsi"/>
        </w:rPr>
      </w:pPr>
      <w:r>
        <w:rPr>
          <w:rFonts w:cs="Calibri" w:cstheme="minorHAnsi"/>
        </w:rPr>
        <w:t>1983 – 1984 – ze względu na konieczność rozbudowy szkoły oraz dobudowania sali gimnastycznej powołano Komitet rozbudowy szkoły.</w:t>
      </w:r>
    </w:p>
    <w:p>
      <w:pPr>
        <w:pStyle w:val="NoSpacing"/>
        <w:jc w:val="both"/>
        <w:rPr>
          <w:rFonts w:ascii="Calibri" w:hAnsi="Calibri" w:cs="Calibri" w:asciiTheme="minorHAnsi" w:cstheme="minorHAnsi" w:hAnsiTheme="minorHAnsi"/>
        </w:rPr>
      </w:pPr>
      <w:r>
        <w:rPr>
          <w:rFonts w:cs="Calibri" w:cstheme="minorHAnsi"/>
        </w:rPr>
        <w:t xml:space="preserve">1985 – 1990 – oddano do użytku dwa skrzydła na piętrze; salę gimnastyczną w stanie surowym. </w:t>
      </w:r>
    </w:p>
    <w:p>
      <w:pPr>
        <w:pStyle w:val="NoSpacing"/>
        <w:jc w:val="both"/>
        <w:rPr>
          <w:rFonts w:ascii="Calibri" w:hAnsi="Calibri" w:cs="Calibri" w:asciiTheme="minorHAnsi" w:cstheme="minorHAnsi" w:hAnsiTheme="minorHAnsi"/>
        </w:rPr>
      </w:pPr>
      <w:r>
        <w:rPr>
          <w:rFonts w:cs="Calibri" w:cstheme="minorHAnsi"/>
        </w:rPr>
        <w:t>1992 – 1993 – przeprowadzono remont szkoły i zmieniono ogrzewanie z węglowego na gazowe.</w:t>
      </w:r>
    </w:p>
    <w:p>
      <w:pPr>
        <w:pStyle w:val="NoSpacing"/>
        <w:jc w:val="both"/>
        <w:rPr>
          <w:rFonts w:ascii="Calibri" w:hAnsi="Calibri" w:cs="Calibri" w:asciiTheme="minorHAnsi" w:cstheme="minorHAnsi" w:hAnsiTheme="minorHAnsi"/>
        </w:rPr>
      </w:pPr>
      <w:r>
        <w:rPr>
          <w:rFonts w:cs="Calibri" w:cstheme="minorHAnsi"/>
        </w:rPr>
        <w:t>1993 – uroczyste otwarcie sali gimnastycznej.</w:t>
      </w:r>
    </w:p>
    <w:p>
      <w:pPr>
        <w:pStyle w:val="NoSpacing"/>
        <w:jc w:val="both"/>
        <w:rPr>
          <w:rFonts w:ascii="Calibri" w:hAnsi="Calibri" w:cs="Calibri" w:asciiTheme="minorHAnsi" w:cstheme="minorHAnsi" w:hAnsiTheme="minorHAnsi"/>
        </w:rPr>
      </w:pPr>
      <w:r>
        <w:rPr>
          <w:rFonts w:cs="Calibri" w:cstheme="minorHAnsi"/>
        </w:rPr>
        <w:t xml:space="preserve">1998 – szkoła otrzymuje imię Wincentego Burka. </w:t>
      </w:r>
    </w:p>
    <w:p>
      <w:pPr>
        <w:pStyle w:val="NoSpacing"/>
        <w:jc w:val="both"/>
        <w:rPr>
          <w:rFonts w:ascii="Calibri" w:hAnsi="Calibri" w:cs="Calibri" w:asciiTheme="minorHAnsi" w:cstheme="minorHAnsi" w:hAnsiTheme="minorHAnsi"/>
        </w:rPr>
      </w:pPr>
      <w:r>
        <w:rPr>
          <w:rFonts w:cs="Calibri" w:cstheme="minorHAnsi"/>
        </w:rPr>
        <w:t xml:space="preserve">2003 – 2005 – ciąg dalszy remontów – wymieniono wszystkie okna i drzwi. </w:t>
      </w:r>
    </w:p>
    <w:p>
      <w:pPr>
        <w:pStyle w:val="NoSpacing"/>
        <w:jc w:val="both"/>
        <w:rPr>
          <w:rFonts w:ascii="Calibri" w:hAnsi="Calibri" w:cs="Calibri" w:asciiTheme="minorHAnsi" w:cstheme="minorHAnsi" w:hAnsiTheme="minorHAnsi"/>
        </w:rPr>
      </w:pPr>
      <w:r>
        <w:rPr>
          <w:rFonts w:cs="Calibri" w:cstheme="minorHAnsi"/>
        </w:rPr>
        <w:t>2008 – powstaje punkt przedszkolny przy szkole, do którego uczęszczają dzieci od 3 do 5  lat.</w:t>
      </w:r>
    </w:p>
    <w:p>
      <w:pPr>
        <w:pStyle w:val="NoSpacing"/>
        <w:jc w:val="both"/>
        <w:rPr>
          <w:rFonts w:ascii="Calibri" w:hAnsi="Calibri" w:cs="Calibri" w:asciiTheme="minorHAnsi" w:cstheme="minorHAnsi" w:hAnsiTheme="minorHAnsi"/>
        </w:rPr>
      </w:pPr>
      <w:r>
        <w:rPr>
          <w:rFonts w:cs="Calibri" w:cstheme="minorHAnsi"/>
        </w:rPr>
        <w:t>2009 – 2010 – Rada Pedagogiczna wraz z Radą Rodziców podejmuje decyzję o nadaniu szkole sztandaru.</w:t>
      </w:r>
    </w:p>
    <w:p>
      <w:pPr>
        <w:pStyle w:val="NoSpacing"/>
        <w:jc w:val="both"/>
        <w:rPr>
          <w:rFonts w:ascii="Calibri" w:hAnsi="Calibri" w:cs="Calibri" w:asciiTheme="minorHAnsi" w:cstheme="minorHAnsi" w:hAnsiTheme="minorHAnsi"/>
        </w:rPr>
      </w:pPr>
      <w:r>
        <w:rPr>
          <w:rFonts w:cs="Calibri" w:cstheme="minorHAnsi"/>
        </w:rPr>
        <w:t>31.08.2012 – Szkoła została zlikwidowana na mocy Uchwały Rady Gminy Dwikozy z dnia 20 lutego 2012 r.</w:t>
      </w:r>
    </w:p>
    <w:p>
      <w:pPr>
        <w:pStyle w:val="NoSpacing"/>
        <w:jc w:val="both"/>
        <w:rPr>
          <w:rFonts w:ascii="Calibri" w:hAnsi="Calibri" w:cs="Calibri" w:asciiTheme="minorHAnsi" w:cstheme="minorHAnsi" w:hAnsiTheme="minorHAnsi"/>
        </w:rPr>
      </w:pPr>
      <w:r>
        <w:rPr>
          <w:rFonts w:cs="Calibri" w:cstheme="minorHAnsi"/>
        </w:rPr>
        <w:t>Od 1 września 2012 r.  organem prowadzącym szkołę jest Stowarzyszenie Przyjaciół Szkoły im. Wincentego Burka w Gałkowicach k. Sandomierza.</w:t>
      </w:r>
    </w:p>
    <w:p>
      <w:pPr>
        <w:pStyle w:val="Caption"/>
        <w:spacing w:lineRule="auto" w:line="240" w:before="0" w:after="0"/>
        <w:jc w:val="center"/>
        <w:rPr>
          <w:rFonts w:ascii="Calibri" w:hAnsi="Calibri" w:cs="Calibri" w:asciiTheme="minorHAnsi" w:cstheme="minorHAnsi" w:hAnsiTheme="minorHAnsi"/>
          <w:b w:val="false"/>
          <w:b w:val="false"/>
          <w:bCs w:val="false"/>
        </w:rPr>
      </w:pPr>
      <w:r>
        <w:rPr>
          <w:rFonts w:cs="Calibri" w:cstheme="minorHAnsi"/>
          <w:b w:val="false"/>
          <w:bCs w:val="false"/>
        </w:rPr>
      </w:r>
    </w:p>
    <w:p>
      <w:pPr>
        <w:pStyle w:val="Normal"/>
        <w:rPr>
          <w:rFonts w:eastAsia="Calibri" w:cs="Calibri" w:cstheme="minorHAnsi"/>
          <w:sz w:val="20"/>
          <w:szCs w:val="20"/>
        </w:rPr>
      </w:pPr>
      <w:r>
        <w:rPr>
          <w:rFonts w:eastAsia="Calibri" w:cs="Calibri" w:cstheme="minorHAnsi"/>
          <w:sz w:val="20"/>
          <w:szCs w:val="20"/>
        </w:rPr>
      </w:r>
      <w:r>
        <w:br w:type="page"/>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13" w:name="_Toc118887446"/>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12</w:t>
      </w:r>
      <w:r>
        <w:rPr>
          <w:b w:val="false"/>
          <w:bCs w:val="false"/>
          <w:rFonts w:cs="Calibri"/>
        </w:rPr>
        <w:fldChar w:fldCharType="end"/>
      </w:r>
      <w:r>
        <w:rPr>
          <w:rFonts w:cs="Calibri" w:cstheme="minorHAnsi"/>
          <w:b w:val="false"/>
          <w:bCs w:val="false"/>
        </w:rPr>
        <w:t xml:space="preserve"> Szkoła Podstawowa  im. Wincentego Burka w Gałkowicach</w:t>
      </w:r>
      <w:bookmarkEnd w:id="213"/>
    </w:p>
    <w:p>
      <w:pPr>
        <w:pStyle w:val="NoSpacing"/>
        <w:jc w:val="center"/>
        <w:rPr>
          <w:rFonts w:ascii="Calibri" w:hAnsi="Calibri" w:cs="Calibri" w:asciiTheme="minorHAnsi" w:cstheme="minorHAnsi" w:hAnsiTheme="minorHAnsi"/>
        </w:rPr>
      </w:pPr>
      <w:r>
        <w:rPr/>
        <w:drawing>
          <wp:inline distT="0" distB="0" distL="0" distR="0">
            <wp:extent cx="5731510" cy="2785745"/>
            <wp:effectExtent l="0" t="0" r="0" b="0"/>
            <wp:docPr id="25"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6" descr=""/>
                    <pic:cNvPicPr>
                      <a:picLocks noChangeAspect="1" noChangeArrowheads="1"/>
                    </pic:cNvPicPr>
                  </pic:nvPicPr>
                  <pic:blipFill>
                    <a:blip r:embed="rId35"/>
                    <a:stretch>
                      <a:fillRect/>
                    </a:stretch>
                  </pic:blipFill>
                  <pic:spPr bwMode="auto">
                    <a:xfrm>
                      <a:off x="0" y="0"/>
                      <a:ext cx="5731510" cy="2785745"/>
                    </a:xfrm>
                    <a:prstGeom prst="rect">
                      <a:avLst/>
                    </a:prstGeom>
                  </pic:spPr>
                </pic:pic>
              </a:graphicData>
            </a:graphic>
          </wp:inline>
        </w:drawing>
      </w:r>
      <w:bookmarkEnd w:id="212"/>
    </w:p>
    <w:p>
      <w:pPr>
        <w:pStyle w:val="Caption"/>
        <w:spacing w:lineRule="auto" w:line="240" w:before="0" w:after="0"/>
        <w:jc w:val="center"/>
        <w:rPr>
          <w:rFonts w:ascii="Calibri" w:hAnsi="Calibri" w:cs="Calibri" w:asciiTheme="minorHAnsi" w:cstheme="minorHAnsi" w:hAnsiTheme="minorHAnsi"/>
          <w:b w:val="false"/>
          <w:b w:val="false"/>
          <w:bCs w:val="false"/>
        </w:rPr>
      </w:pPr>
      <w:r>
        <w:rPr>
          <w:rFonts w:cs="Calibri" w:cstheme="minorHAnsi"/>
          <w:b w:val="false"/>
          <w:bCs w:val="false"/>
        </w:rPr>
        <w:t>Źródło: http://www.spgalkowice.c0.pl/index.php?dzial_id=4</w:t>
      </w:r>
    </w:p>
    <w:p>
      <w:pPr>
        <w:pStyle w:val="Caption"/>
        <w:spacing w:lineRule="auto" w:line="240" w:before="0" w:after="0"/>
        <w:jc w:val="center"/>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r>
    </w:p>
    <w:p>
      <w:pPr>
        <w:pStyle w:val="Caption"/>
        <w:spacing w:lineRule="auto" w:line="240" w:before="0" w:after="0"/>
        <w:jc w:val="both"/>
        <w:rPr>
          <w:rFonts w:ascii="Calibri" w:hAnsi="Calibri" w:cs="Calibri" w:asciiTheme="minorHAnsi" w:cstheme="minorHAnsi" w:hAnsiTheme="minorHAnsi"/>
          <w:sz w:val="22"/>
          <w:szCs w:val="22"/>
        </w:rPr>
      </w:pPr>
      <w:r>
        <w:rPr>
          <w:rFonts w:cs="Calibri" w:cstheme="minorHAnsi"/>
          <w:sz w:val="22"/>
          <w:szCs w:val="22"/>
        </w:rPr>
        <w:t xml:space="preserve">Szkoła Podstawowa w Starym Garbowie </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W roku 1913 po długich i usilnych staraniach mieszkańców Garbowa wieś otrzymała od władz carskich zezwolenie na założenie szkoły, którą umieszczono w domu Wincentego Fularskiego. Pierwszą nauczycielką była p. Świetlicka. W 1916 roku mieszkańcy wsi kupili morgę pola </w:t>
        <w:br/>
        <w:t xml:space="preserve">z drewnianym domem, w którym umieścili szkołę i urządzili mieszkanie dla nauczycieli. Od 1921 roku do 1932 szkoła ta jest szkołą z 2 nauczycielami i 4 klasami. Kierownikiem szkoły został p. Józef Świątyński, który odszedł w 1929 r. </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Działania wojenne w 1944/45 roku, mające szczególny charakter na tym terenie, rozproszyły pracujące tu grono nauczycielskie. Szkoła została rozebrana przez wojska okupanta. Natomiast sprzęt i akta szkoły zostały zniszczone podczas frontu, który trwał od lipca 1944 do drugiej połowy stycznia 1945 roku. W 1945 roku przydzielono do Garbowa na szkołę poniemiecki barak. Pod koniec tegoż roku wznowiono pracę szkoły. Kierownikiem jej został p. Walerian Kuraś, a nauczycielką p. Kurasiowa. W pierwszym roku szkoła miała klasy: I, II, III. Od 1946 r. szkoła miała już pięć klas. </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W czerwcu 1959 roku przystąpiono do budowy szkoły, którą oddano do użytku w 1961 r. Wiosną 1961 r. przystąpiono do zagospodarowania placu szkolnego. W 1969r. kierownik szkoły wraz </w:t>
        <w:br/>
        <w:t xml:space="preserve">z rodzicami postanowili wystąpić do Wydziału Oświaty w Sandomierzu z prośbą o wybudowanie </w:t>
        <w:br/>
        <w:t>w Garbowie „Domu Nauczyciela”. Do prośby ustosunkowano się pozytywnie. Pod koniec sierpnia 1970 r. kierownictwo szkoły objął p. Józef Dąbrowski.</w:t>
      </w:r>
      <w:r>
        <w:rPr>
          <w:rFonts w:cs="Calibri" w:cstheme="minorHAnsi"/>
        </w:rPr>
        <w:t xml:space="preserve"> </w:t>
      </w:r>
      <w:r>
        <w:rPr>
          <w:rFonts w:cs="Calibri" w:cstheme="minorHAnsi"/>
          <w:b w:val="false"/>
          <w:bCs w:val="false"/>
          <w:sz w:val="22"/>
          <w:szCs w:val="22"/>
        </w:rPr>
        <w:t>W 1986 r. dyrektor szkoły Józef Dąbrowski postanowił zmienić sposób ogrzewania szkoły (z piecowego na centralne).</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W 1999 roku dyrektorem zostaje Waldemar Wilk, który rozbudowuje szkołę. Za jego kadencji szkoła otrzymuje imię Zawiszy Czarnego herbu Sulima. Następnym dyrektorem zostaje Grażyna Miry. Od 2012 roku szkołą kieruje Stowarzyszenie Edukacyjne im. Zawiszy Czarnego.</w:t>
      </w:r>
    </w:p>
    <w:p>
      <w:pPr>
        <w:pStyle w:val="Caption"/>
        <w:spacing w:lineRule="auto" w:line="240" w:before="0" w:after="0"/>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r>
    </w:p>
    <w:p>
      <w:pPr>
        <w:pStyle w:val="Caption"/>
        <w:spacing w:lineRule="auto" w:line="240" w:before="0" w:after="0"/>
        <w:rPr>
          <w:rFonts w:ascii="Calibri" w:hAnsi="Calibri" w:cs="Calibri" w:asciiTheme="minorHAnsi" w:cstheme="minorHAnsi" w:hAnsiTheme="minorHAnsi"/>
          <w:sz w:val="22"/>
          <w:szCs w:val="22"/>
        </w:rPr>
      </w:pPr>
      <w:r>
        <w:rPr>
          <w:rFonts w:cs="Calibri" w:cstheme="minorHAnsi"/>
          <w:sz w:val="22"/>
          <w:szCs w:val="22"/>
        </w:rPr>
        <w:t>Szkoła Podstawowa w Winiarach</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Szkolnictwo na terenie wsi Winiary, Winiarki sięga swym początkiem roku 1906. Powstała wtedy tak zwana „Ochronka” kierowana przez panią Annę Aniołowicz. W 1908r. przekształcona została </w:t>
        <w:br/>
        <w:t>w przedszkole. W tym samym roku „Macierz Szkolna”, ze stojącym na jej czele właścicielem majątku panem Juliuszem Targowskim, zorganizowała oddzielną szkołę dla uczniów ze wsi Winiary i Winiarki, która funkcjonowała do wybuchu I wojny światowej. Reaktywacja życia szkolnego nastąpiła w 1917 roku. Zajęcia lekcyjne odbywały się wtedy w prywatnych domach rolników. Na początku dzieci z obu wsi uczyły się razem, potem w każdej miejscowości utworzono osobny oddział. W 1921 r. zapada decyzja o ponownym powstaniu jednej szkoły dla uczniów z obydwu wsi. Na placu podarowanym przez pana Targowskiego staje budynek - zakupiony i zmontowany przez rolników. Pierwszym nauczycielem zostaje pan Świechowski. Do nowej szkoły uczęszczało przeciętnie 70 uczniów z klas I – IV. Starsza młodzież uczyła się w Dwikozach i Zawichoście. Placówka funkcjonowała w czasie okupacji i nie przerwała swej działalności. W roku 1958 ówczesny kierownik szkoły występuje z inicjatywą budowy nowej szkoły czynem społecznym. Zaangażowanie mieszkańców sprawia, że władze powiatu w Sandomierzu zdecydowały, iż będzie ona budowana w ramach programu Pomnik Tysiąclecia. Uroczystość położenia kamienia węgielnego i wmurowania aktu erekcyjnego ma miejsce 29 maja 1960 roku. Budowa trwa dwa lata.</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25 września 1962 r. następuje uroczyste otwarcie nowej szkoły, a jej pierwszym dyrektorem zostaje pan Mieczysław Jasiński. Do kolejnego ważnego wydarzenia dochodzi 27 sierpnia 1972 roku. Szkoła przyjmuje imię Stefana Żeromskiego i otrzymuje swój sztandar. Okolicznościowy list przysyła córka pisarza Monika Żeromska. </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Przechodząc różnorakie zmiany organizacyjne szkoła przetrwała do 2000 r. Wtedy to rozpoczyna się nowy etap w jej historii. Staje się tak zwaną „małą szkołą” tzn. przechodzi pod zarząd powstałego Stowarzyszenia na Rzecz Ekorozwoju Wsi Winiarki, Winiary, Kępa Chwałowska. </w:t>
      </w:r>
    </w:p>
    <w:p>
      <w:pPr>
        <w:pStyle w:val="Caption"/>
        <w:spacing w:lineRule="auto" w:line="240" w:before="0" w:after="0"/>
        <w:jc w:val="both"/>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t xml:space="preserve">Od 2002 r. przy szkole działa Niepubliczne Przedszkole. W roku szkolnym 2011/2012 w ramach projektu przy budynku szkoły powstał nowoczesny plac zabaw. </w:t>
      </w:r>
    </w:p>
    <w:p>
      <w:pPr>
        <w:pStyle w:val="Normal"/>
        <w:spacing w:lineRule="auto" w:line="240" w:before="0" w:after="0"/>
        <w:rPr>
          <w:rFonts w:cs="Calibri" w:cs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14" w:name="_Toc118887447"/>
      <w:r>
        <w:rPr>
          <w:rFonts w:cs="Calibri" w:cstheme="minorHAnsi"/>
          <w:b w:val="false"/>
          <w:bCs w:val="false"/>
        </w:rPr>
        <w:t xml:space="preserve">Zdjęcie </w:t>
      </w:r>
      <w:r>
        <w:rPr>
          <w:rFonts w:cs="Calibri" w:cstheme="minorHAnsi"/>
          <w:b w:val="false"/>
          <w:bCs w:val="false"/>
        </w:rPr>
        <w:fldChar w:fldCharType="begin"/>
      </w:r>
      <w:r>
        <w:rPr>
          <w:b w:val="false"/>
          <w:bCs w:val="false"/>
          <w:rFonts w:cs="Calibri"/>
        </w:rPr>
        <w:instrText xml:space="preserve"> SEQ Zdjęcie \* ARABIC </w:instrText>
      </w:r>
      <w:r>
        <w:rPr>
          <w:b w:val="false"/>
          <w:bCs w:val="false"/>
          <w:rFonts w:cs="Calibri"/>
        </w:rPr>
        <w:fldChar w:fldCharType="separate"/>
      </w:r>
      <w:r>
        <w:rPr>
          <w:b w:val="false"/>
          <w:bCs w:val="false"/>
          <w:rFonts w:cs="Calibri"/>
        </w:rPr>
        <w:t>13</w:t>
      </w:r>
      <w:r>
        <w:rPr>
          <w:b w:val="false"/>
          <w:bCs w:val="false"/>
          <w:rFonts w:cs="Calibri"/>
        </w:rPr>
        <w:fldChar w:fldCharType="end"/>
      </w:r>
      <w:r>
        <w:rPr>
          <w:rFonts w:cs="Calibri" w:cstheme="minorHAnsi"/>
          <w:b w:val="false"/>
          <w:bCs w:val="false"/>
        </w:rPr>
        <w:t xml:space="preserve"> Szkoła Podstawowa w Winiarach 2021r.</w:t>
      </w:r>
      <w:bookmarkEnd w:id="214"/>
    </w:p>
    <w:p>
      <w:pPr>
        <w:pStyle w:val="Normal"/>
        <w:spacing w:lineRule="auto" w:line="240" w:before="0" w:after="0"/>
        <w:rPr>
          <w:rFonts w:cs="Calibri" w:cstheme="minorHAnsi"/>
        </w:rPr>
      </w:pPr>
      <w:r>
        <w:rPr/>
        <w:drawing>
          <wp:inline distT="0" distB="0" distL="0" distR="0">
            <wp:extent cx="5731510" cy="3460115"/>
            <wp:effectExtent l="0" t="0" r="0" b="0"/>
            <wp:docPr id="26"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17" descr=""/>
                    <pic:cNvPicPr>
                      <a:picLocks noChangeAspect="1" noChangeArrowheads="1"/>
                    </pic:cNvPicPr>
                  </pic:nvPicPr>
                  <pic:blipFill>
                    <a:blip r:embed="rId36"/>
                    <a:stretch>
                      <a:fillRect/>
                    </a:stretch>
                  </pic:blipFill>
                  <pic:spPr bwMode="auto">
                    <a:xfrm>
                      <a:off x="0" y="0"/>
                      <a:ext cx="5731510" cy="3460115"/>
                    </a:xfrm>
                    <a:prstGeom prst="rect">
                      <a:avLst/>
                    </a:prstGeom>
                  </pic:spPr>
                </pic:pic>
              </a:graphicData>
            </a:graphic>
          </wp:inline>
        </w:drawing>
      </w:r>
    </w:p>
    <w:p>
      <w:pPr>
        <w:pStyle w:val="Normal"/>
        <w:spacing w:lineRule="auto" w:line="240" w:before="0" w:after="0"/>
        <w:jc w:val="center"/>
        <w:rPr>
          <w:rStyle w:val="Czeinternetowe"/>
          <w:rFonts w:cs="Calibri" w:cstheme="minorHAnsi"/>
          <w:color w:val="auto"/>
          <w:sz w:val="20"/>
          <w:szCs w:val="20"/>
          <w:u w:val="none"/>
        </w:rPr>
      </w:pPr>
      <w:r>
        <w:rPr>
          <w:rFonts w:cs="Calibri" w:cstheme="minorHAnsi"/>
          <w:sz w:val="20"/>
          <w:szCs w:val="20"/>
        </w:rPr>
        <w:t xml:space="preserve">Źródło: </w:t>
      </w:r>
      <w:hyperlink r:id="rId37">
        <w:r>
          <w:rPr>
            <w:rStyle w:val="Czeinternetowe"/>
            <w:rFonts w:cs="Calibri" w:cstheme="minorHAnsi"/>
            <w:color w:val="auto"/>
            <w:sz w:val="20"/>
            <w:szCs w:val="20"/>
            <w:u w:val="none"/>
          </w:rPr>
          <w:t>https://sites.google.com/site/szpwiniary/foto-albumy/nasze-pracownie</w:t>
        </w:r>
      </w:hyperlink>
    </w:p>
    <w:p>
      <w:pPr>
        <w:pStyle w:val="Normal"/>
        <w:spacing w:lineRule="auto" w:line="240" w:before="0" w:after="0"/>
        <w:jc w:val="both"/>
        <w:rPr>
          <w:rStyle w:val="Czeinternetowe"/>
          <w:rFonts w:cs="Calibri" w:cstheme="minorHAnsi"/>
          <w:color w:val="auto"/>
          <w:highlight w:val="yellow"/>
          <w:u w:val="none"/>
        </w:rPr>
      </w:pPr>
      <w:r>
        <w:rPr>
          <w:rFonts w:cs="Calibri" w:cstheme="minorHAnsi"/>
          <w:color w:val="auto"/>
          <w:highlight w:val="yellow"/>
          <w:u w:val="none"/>
        </w:rPr>
      </w:r>
    </w:p>
    <w:p>
      <w:pPr>
        <w:pStyle w:val="Normal"/>
        <w:spacing w:lineRule="auto" w:line="240" w:before="0" w:after="0"/>
        <w:jc w:val="both"/>
        <w:rPr>
          <w:rStyle w:val="Czeinternetowe"/>
          <w:rFonts w:cs="Calibri" w:cstheme="minorHAnsi"/>
          <w:color w:val="auto"/>
          <w:u w:val="none"/>
        </w:rPr>
      </w:pPr>
      <w:r>
        <w:rPr>
          <w:rStyle w:val="Czeinternetowe"/>
          <w:rFonts w:cs="Calibri" w:cstheme="minorHAnsi"/>
          <w:color w:val="auto"/>
          <w:u w:val="none"/>
        </w:rPr>
        <w:t>Liczba dzieci w szokach na terenie gminy w ostatnich trzech latach szkolnych jest na stabilnym poziomie.</w:t>
      </w:r>
    </w:p>
    <w:p>
      <w:pPr>
        <w:pStyle w:val="Normal"/>
        <w:spacing w:lineRule="auto" w:line="240" w:before="0" w:after="0"/>
        <w:jc w:val="both"/>
        <w:rPr>
          <w:rFonts w:cs="Calibri" w:cs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kern w:val="2"/>
          <w:lang w:eastAsia="pl-PL"/>
        </w:rPr>
      </w:pPr>
      <w:bookmarkStart w:id="215" w:name="_Toc118887783"/>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34</w:t>
      </w:r>
      <w:r>
        <w:rPr>
          <w:b w:val="false"/>
          <w:bCs w:val="false"/>
          <w:rFonts w:cs="Calibri"/>
        </w:rPr>
        <w:fldChar w:fldCharType="end"/>
      </w:r>
      <w:r>
        <w:rPr>
          <w:rFonts w:cs="Calibri" w:cstheme="minorHAnsi"/>
          <w:b w:val="false"/>
          <w:bCs w:val="false"/>
        </w:rPr>
        <w:t xml:space="preserve"> Liczba przedszkolaków i uczniów w placówkach edukacyjnych w Gminie Dwikozy w roku szkolnym 2019/2020</w:t>
      </w:r>
      <w:bookmarkEnd w:id="215"/>
    </w:p>
    <w:tbl>
      <w:tblPr>
        <w:tblW w:w="10247" w:type="dxa"/>
        <w:jc w:val="left"/>
        <w:tblInd w:w="-147" w:type="dxa"/>
        <w:tblLayout w:type="fixed"/>
        <w:tblCellMar>
          <w:top w:w="0" w:type="dxa"/>
          <w:left w:w="70" w:type="dxa"/>
          <w:bottom w:w="0" w:type="dxa"/>
          <w:right w:w="70" w:type="dxa"/>
        </w:tblCellMar>
        <w:tblLook w:firstRow="1" w:noVBand="1" w:lastRow="0" w:firstColumn="1" w:lastColumn="0" w:noHBand="0" w:val="04a0"/>
      </w:tblPr>
      <w:tblGrid>
        <w:gridCol w:w="1846"/>
        <w:gridCol w:w="912"/>
        <w:gridCol w:w="973"/>
        <w:gridCol w:w="1180"/>
        <w:gridCol w:w="1091"/>
        <w:gridCol w:w="850"/>
        <w:gridCol w:w="868"/>
        <w:gridCol w:w="920"/>
        <w:gridCol w:w="856"/>
        <w:gridCol w:w="750"/>
      </w:tblGrid>
      <w:tr>
        <w:trPr>
          <w:trHeight w:val="1025" w:hRule="atLeast"/>
        </w:trPr>
        <w:tc>
          <w:tcPr>
            <w:tcW w:w="1846"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ind w:right="107" w:hanging="0"/>
              <w:jc w:val="center"/>
              <w:rPr>
                <w:rFonts w:eastAsia="Times New Roman" w:cs="Calibri" w:cstheme="minorHAnsi"/>
              </w:rPr>
            </w:pPr>
            <w:r>
              <w:rPr>
                <w:rFonts w:eastAsia="Times New Roman" w:cs="Calibri" w:cstheme="minorHAnsi"/>
              </w:rPr>
              <w:t>Wyszczególnienie</w:t>
            </w:r>
          </w:p>
        </w:tc>
        <w:tc>
          <w:tcPr>
            <w:tcW w:w="912"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Dwikozy i PS Dwikozy</w:t>
            </w:r>
          </w:p>
        </w:tc>
        <w:tc>
          <w:tcPr>
            <w:tcW w:w="973"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Słupcza</w:t>
            </w:r>
          </w:p>
        </w:tc>
        <w:tc>
          <w:tcPr>
            <w:tcW w:w="1180"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Gierlachów</w:t>
            </w:r>
          </w:p>
        </w:tc>
        <w:tc>
          <w:tcPr>
            <w:tcW w:w="1091"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Gałkowice</w:t>
            </w:r>
          </w:p>
        </w:tc>
        <w:tc>
          <w:tcPr>
            <w:tcW w:w="850"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Mściów</w:t>
            </w:r>
          </w:p>
        </w:tc>
        <w:tc>
          <w:tcPr>
            <w:tcW w:w="868"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Garbów Nowy</w:t>
            </w:r>
          </w:p>
        </w:tc>
        <w:tc>
          <w:tcPr>
            <w:tcW w:w="920"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Góry Wysokie</w:t>
            </w:r>
          </w:p>
        </w:tc>
        <w:tc>
          <w:tcPr>
            <w:tcW w:w="856"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 Winiary</w:t>
            </w:r>
          </w:p>
        </w:tc>
        <w:tc>
          <w:tcPr>
            <w:tcW w:w="750" w:type="dxa"/>
            <w:tcBorders>
              <w:top w:val="single" w:sz="4" w:space="0" w:color="000000"/>
              <w:left w:val="single" w:sz="4" w:space="0" w:color="000000"/>
              <w:bottom w:val="single" w:sz="4" w:space="0" w:color="000000"/>
              <w:right w:val="single" w:sz="4" w:space="0" w:color="000000"/>
            </w:tcBorders>
            <w:shd w:color="auto" w:fill="FFE599" w:themeFill="accent4" w:themeFillTint="66"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Razem</w:t>
            </w:r>
          </w:p>
        </w:tc>
      </w:tr>
      <w:tr>
        <w:trPr>
          <w:trHeight w:val="477"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Przedszkole/punkt przedszkolny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72 (PS)</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36</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19</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30</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24</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15</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202</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27 (PS)</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10</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15</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17</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4</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83</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I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27</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4</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9</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7</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8</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5</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70</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II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27</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8</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9</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10</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5</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5</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4</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72</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III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11</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9</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14</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11</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11</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59</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IV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26</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10</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4</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3</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46</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V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33</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16</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14</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6</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9</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8</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112</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VI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30</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15</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17</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7</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10</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7</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9</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98</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VII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34</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12</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10</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2</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4</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5</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1</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72</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VIII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17</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8</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9</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13</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0</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8</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2</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57</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Razem</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301</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79</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140</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36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98</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84</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83</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50</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871</w:t>
            </w:r>
          </w:p>
        </w:tc>
      </w:tr>
    </w:tbl>
    <w:p>
      <w:pPr>
        <w:pStyle w:val="Normal"/>
        <w:spacing w:lineRule="auto" w:line="240" w:before="0" w:after="0"/>
        <w:jc w:val="center"/>
        <w:rPr>
          <w:rFonts w:cs="Calibri" w:cstheme="minorHAnsi"/>
          <w:sz w:val="20"/>
          <w:szCs w:val="20"/>
        </w:rPr>
      </w:pPr>
      <w:r>
        <w:rPr>
          <w:rFonts w:cs="Calibri" w:cstheme="minorHAnsi"/>
          <w:sz w:val="20"/>
          <w:szCs w:val="20"/>
        </w:rPr>
        <w:t>Źródło:  Raport o stanie gminy Dwikozy za 2020 rok</w:t>
      </w:r>
    </w:p>
    <w:p>
      <w:pPr>
        <w:pStyle w:val="Normal"/>
        <w:spacing w:lineRule="auto" w:line="240" w:before="0" w:after="0"/>
        <w:jc w:val="center"/>
        <w:rPr>
          <w:rFonts w:cs="Calibri" w:cs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kern w:val="2"/>
          <w:lang w:eastAsia="pl-PL"/>
        </w:rPr>
      </w:pPr>
      <w:bookmarkStart w:id="216" w:name="_Toc118887784"/>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35</w:t>
      </w:r>
      <w:r>
        <w:rPr>
          <w:b w:val="false"/>
          <w:bCs w:val="false"/>
          <w:rFonts w:cs="Calibri"/>
        </w:rPr>
        <w:fldChar w:fldCharType="end"/>
      </w:r>
      <w:r>
        <w:rPr>
          <w:rFonts w:cs="Calibri" w:cstheme="minorHAnsi"/>
          <w:b w:val="false"/>
          <w:bCs w:val="false"/>
        </w:rPr>
        <w:t xml:space="preserve"> Liczba przedszkolaków i uczniów w placówkach edukacyjnych w Gminie Dwikozy w roku szkolnym 2020/2021</w:t>
      </w:r>
      <w:bookmarkEnd w:id="216"/>
    </w:p>
    <w:tbl>
      <w:tblPr>
        <w:tblW w:w="10247" w:type="dxa"/>
        <w:jc w:val="left"/>
        <w:tblInd w:w="-147" w:type="dxa"/>
        <w:tblLayout w:type="fixed"/>
        <w:tblCellMar>
          <w:top w:w="0" w:type="dxa"/>
          <w:left w:w="70" w:type="dxa"/>
          <w:bottom w:w="0" w:type="dxa"/>
          <w:right w:w="70" w:type="dxa"/>
        </w:tblCellMar>
        <w:tblLook w:firstRow="1" w:noVBand="1" w:lastRow="0" w:firstColumn="1" w:lastColumn="0" w:noHBand="0" w:val="04a0"/>
      </w:tblPr>
      <w:tblGrid>
        <w:gridCol w:w="1846"/>
        <w:gridCol w:w="912"/>
        <w:gridCol w:w="973"/>
        <w:gridCol w:w="1180"/>
        <w:gridCol w:w="1091"/>
        <w:gridCol w:w="850"/>
        <w:gridCol w:w="868"/>
        <w:gridCol w:w="920"/>
        <w:gridCol w:w="856"/>
        <w:gridCol w:w="750"/>
      </w:tblGrid>
      <w:tr>
        <w:trPr>
          <w:trHeight w:val="1070" w:hRule="atLeast"/>
        </w:trPr>
        <w:tc>
          <w:tcPr>
            <w:tcW w:w="184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ind w:right="107" w:hanging="0"/>
              <w:jc w:val="center"/>
              <w:rPr>
                <w:rFonts w:eastAsia="Times New Roman" w:cs="Calibri" w:cstheme="minorHAnsi"/>
                <w:color w:val="000000"/>
              </w:rPr>
            </w:pPr>
            <w:r>
              <w:rPr>
                <w:rFonts w:eastAsia="Times New Roman" w:cs="Calibri" w:cstheme="minorHAnsi"/>
              </w:rPr>
              <w:t>Wyszczególnienie</w:t>
            </w:r>
          </w:p>
        </w:tc>
        <w:tc>
          <w:tcPr>
            <w:tcW w:w="91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Dwikozy i PS Dwikozy</w:t>
            </w:r>
          </w:p>
        </w:tc>
        <w:tc>
          <w:tcPr>
            <w:tcW w:w="973"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Słupcza</w:t>
            </w:r>
          </w:p>
        </w:tc>
        <w:tc>
          <w:tcPr>
            <w:tcW w:w="118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Gierlachów</w:t>
            </w:r>
          </w:p>
        </w:tc>
        <w:tc>
          <w:tcPr>
            <w:tcW w:w="1091"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Gałkowice</w:t>
            </w:r>
          </w:p>
        </w:tc>
        <w:tc>
          <w:tcPr>
            <w:tcW w:w="85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Mściów</w:t>
            </w:r>
          </w:p>
        </w:tc>
        <w:tc>
          <w:tcPr>
            <w:tcW w:w="868"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Garbów Nowy</w:t>
            </w:r>
          </w:p>
        </w:tc>
        <w:tc>
          <w:tcPr>
            <w:tcW w:w="92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Góry Wysokie</w:t>
            </w:r>
          </w:p>
        </w:tc>
        <w:tc>
          <w:tcPr>
            <w:tcW w:w="85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Winiary</w:t>
            </w:r>
          </w:p>
        </w:tc>
        <w:tc>
          <w:tcPr>
            <w:tcW w:w="75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Razem</w:t>
            </w:r>
          </w:p>
        </w:tc>
      </w:tr>
      <w:tr>
        <w:trPr>
          <w:trHeight w:val="477"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Przedszkole/punkt przedszkolny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70 (PS)</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24</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19</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34</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30</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22</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213</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"O"</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26 (PS)</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23</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15</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16</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80</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22</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11</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5</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62</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II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27</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17</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70</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III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26</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9</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10</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5</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5</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71</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IV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13</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9</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14</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11</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11</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61</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26</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9</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0</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46</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VI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35</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20</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18</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6</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13</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16</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113</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VII klasa/-y</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29</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15</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17</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10</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96</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VIII klasa/-y</w:t>
            </w:r>
          </w:p>
        </w:tc>
        <w:tc>
          <w:tcPr>
            <w:tcW w:w="91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34</w:t>
            </w:r>
          </w:p>
        </w:tc>
        <w:tc>
          <w:tcPr>
            <w:tcW w:w="97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12</w:t>
            </w:r>
          </w:p>
        </w:tc>
        <w:tc>
          <w:tcPr>
            <w:tcW w:w="11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10</w:t>
            </w:r>
          </w:p>
        </w:tc>
        <w:tc>
          <w:tcPr>
            <w:tcW w:w="109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8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w:t>
            </w:r>
          </w:p>
        </w:tc>
        <w:tc>
          <w:tcPr>
            <w:tcW w:w="8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5</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2</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73</w:t>
            </w:r>
          </w:p>
        </w:tc>
      </w:tr>
      <w:tr>
        <w:trPr>
          <w:trHeight w:val="29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Razem</w:t>
            </w:r>
          </w:p>
        </w:tc>
        <w:tc>
          <w:tcPr>
            <w:tcW w:w="9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308</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75</w:t>
            </w:r>
          </w:p>
        </w:tc>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143</w:t>
            </w:r>
          </w:p>
        </w:tc>
        <w:tc>
          <w:tcPr>
            <w:tcW w:w="1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41</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92</w:t>
            </w:r>
          </w:p>
        </w:tc>
        <w:tc>
          <w:tcPr>
            <w:tcW w:w="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93</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80</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53</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885</w:t>
            </w:r>
          </w:p>
        </w:tc>
      </w:tr>
    </w:tbl>
    <w:p>
      <w:pPr>
        <w:pStyle w:val="Normal"/>
        <w:spacing w:lineRule="auto" w:line="240" w:before="0" w:after="0"/>
        <w:jc w:val="center"/>
        <w:rPr>
          <w:rFonts w:cs="Calibri" w:cstheme="minorHAnsi"/>
          <w:sz w:val="20"/>
          <w:szCs w:val="20"/>
        </w:rPr>
      </w:pPr>
      <w:r>
        <w:rPr>
          <w:rFonts w:cs="Calibri" w:cstheme="minorHAnsi"/>
          <w:sz w:val="20"/>
          <w:szCs w:val="20"/>
        </w:rPr>
        <w:t>Źródło:  Raport o stanie gminy Dwikozy za 2021 rok</w:t>
      </w:r>
    </w:p>
    <w:p>
      <w:pPr>
        <w:pStyle w:val="Normal"/>
        <w:spacing w:lineRule="auto" w:line="240" w:before="0" w:after="0"/>
        <w:jc w:val="center"/>
        <w:rPr>
          <w:rFonts w:cs="Calibri" w:cstheme="minorHAnsi"/>
          <w:i/>
          <w:i/>
          <w:iCs/>
        </w:rPr>
      </w:pPr>
      <w:r>
        <w:rPr>
          <w:rFonts w:cs="Calibri" w:cstheme="minorHAnsi"/>
          <w:i/>
          <w:iCs/>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17" w:name="_Hlk118561893"/>
      <w:bookmarkStart w:id="218" w:name="_Toc118887785"/>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36</w:t>
      </w:r>
      <w:r>
        <w:rPr>
          <w:b w:val="false"/>
          <w:bCs w:val="false"/>
          <w:rFonts w:cs="Calibri"/>
        </w:rPr>
        <w:fldChar w:fldCharType="end"/>
      </w:r>
      <w:r>
        <w:rPr>
          <w:rFonts w:cs="Calibri" w:cstheme="minorHAnsi"/>
          <w:b w:val="false"/>
          <w:bCs w:val="false"/>
        </w:rPr>
        <w:t xml:space="preserve"> Liczba przedszkolaków i uczniów w placówkach edukacyjnych w Gminie Dwikozy w roku szkolnym 2021/2022</w:t>
      </w:r>
      <w:bookmarkEnd w:id="218"/>
    </w:p>
    <w:tbl>
      <w:tblPr>
        <w:tblW w:w="10280" w:type="dxa"/>
        <w:jc w:val="left"/>
        <w:tblInd w:w="-147" w:type="dxa"/>
        <w:tblLayout w:type="fixed"/>
        <w:tblCellMar>
          <w:top w:w="0" w:type="dxa"/>
          <w:left w:w="70" w:type="dxa"/>
          <w:bottom w:w="0" w:type="dxa"/>
          <w:right w:w="70" w:type="dxa"/>
        </w:tblCellMar>
        <w:tblLook w:firstRow="1" w:noVBand="1" w:lastRow="0" w:firstColumn="1" w:lastColumn="0" w:noHBand="0" w:val="04a0"/>
      </w:tblPr>
      <w:tblGrid>
        <w:gridCol w:w="1846"/>
        <w:gridCol w:w="1071"/>
        <w:gridCol w:w="847"/>
        <w:gridCol w:w="1179"/>
        <w:gridCol w:w="1093"/>
        <w:gridCol w:w="848"/>
        <w:gridCol w:w="869"/>
        <w:gridCol w:w="920"/>
        <w:gridCol w:w="856"/>
        <w:gridCol w:w="750"/>
      </w:tblGrid>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ind w:right="107" w:hanging="0"/>
              <w:jc w:val="center"/>
              <w:rPr>
                <w:rFonts w:eastAsia="Times New Roman" w:cs="Calibri" w:cstheme="minorHAnsi"/>
                <w:color w:val="000000"/>
              </w:rPr>
            </w:pPr>
            <w:r>
              <w:rPr>
                <w:rFonts w:eastAsia="Times New Roman" w:cs="Calibri" w:cstheme="minorHAnsi"/>
                <w:color w:val="000000"/>
              </w:rPr>
              <w:t>Wyszczególnienie</w:t>
            </w:r>
          </w:p>
        </w:tc>
        <w:tc>
          <w:tcPr>
            <w:tcW w:w="1071"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Dwikozy i</w:t>
            </w:r>
          </w:p>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PS Dwikozy</w:t>
            </w:r>
          </w:p>
        </w:tc>
        <w:tc>
          <w:tcPr>
            <w:tcW w:w="84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Słupcza</w:t>
            </w:r>
          </w:p>
        </w:tc>
        <w:tc>
          <w:tcPr>
            <w:tcW w:w="1179"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Gierlachów</w:t>
            </w:r>
          </w:p>
        </w:tc>
        <w:tc>
          <w:tcPr>
            <w:tcW w:w="1093"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Gałkowice</w:t>
            </w:r>
          </w:p>
        </w:tc>
        <w:tc>
          <w:tcPr>
            <w:tcW w:w="848"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Mściów</w:t>
            </w:r>
          </w:p>
        </w:tc>
        <w:tc>
          <w:tcPr>
            <w:tcW w:w="869"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Garbów Nowy</w:t>
            </w:r>
          </w:p>
        </w:tc>
        <w:tc>
          <w:tcPr>
            <w:tcW w:w="92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Góry Wysokie</w:t>
            </w:r>
          </w:p>
        </w:tc>
        <w:tc>
          <w:tcPr>
            <w:tcW w:w="85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SP Winiary</w:t>
            </w:r>
          </w:p>
        </w:tc>
        <w:tc>
          <w:tcPr>
            <w:tcW w:w="75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Razem</w:t>
            </w:r>
          </w:p>
        </w:tc>
      </w:tr>
      <w:tr>
        <w:trPr>
          <w:trHeight w:val="493"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Przedszkole/punkt przedszkolny</w:t>
            </w:r>
          </w:p>
        </w:tc>
        <w:tc>
          <w:tcPr>
            <w:tcW w:w="1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73</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11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24</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14</w:t>
            </w:r>
          </w:p>
        </w:tc>
        <w:tc>
          <w:tcPr>
            <w:tcW w:w="8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21</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33</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26</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17</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208</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"O"</w:t>
            </w:r>
          </w:p>
        </w:tc>
        <w:tc>
          <w:tcPr>
            <w:tcW w:w="107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24</w:t>
            </w:r>
          </w:p>
        </w:tc>
        <w:tc>
          <w:tcPr>
            <w:tcW w:w="84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117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19</w:t>
            </w:r>
          </w:p>
        </w:tc>
        <w:tc>
          <w:tcPr>
            <w:tcW w:w="109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84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20</w:t>
            </w:r>
          </w:p>
        </w:tc>
        <w:tc>
          <w:tcPr>
            <w:tcW w:w="86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17</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80</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 klasa/-y</w:t>
            </w:r>
          </w:p>
        </w:tc>
        <w:tc>
          <w:tcPr>
            <w:tcW w:w="1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25</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11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18</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w:t>
            </w:r>
          </w:p>
        </w:tc>
        <w:tc>
          <w:tcPr>
            <w:tcW w:w="8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14</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72</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II klasa/-y</w:t>
            </w:r>
          </w:p>
        </w:tc>
        <w:tc>
          <w:tcPr>
            <w:tcW w:w="107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22</w:t>
            </w:r>
          </w:p>
        </w:tc>
        <w:tc>
          <w:tcPr>
            <w:tcW w:w="84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4</w:t>
            </w:r>
          </w:p>
        </w:tc>
        <w:tc>
          <w:tcPr>
            <w:tcW w:w="117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11</w:t>
            </w:r>
          </w:p>
        </w:tc>
        <w:tc>
          <w:tcPr>
            <w:tcW w:w="109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w:t>
            </w:r>
          </w:p>
        </w:tc>
        <w:tc>
          <w:tcPr>
            <w:tcW w:w="84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8</w:t>
            </w:r>
          </w:p>
        </w:tc>
        <w:tc>
          <w:tcPr>
            <w:tcW w:w="86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4</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62</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III klasa/-y</w:t>
            </w:r>
          </w:p>
        </w:tc>
        <w:tc>
          <w:tcPr>
            <w:tcW w:w="1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29</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4</w:t>
            </w:r>
          </w:p>
        </w:tc>
        <w:tc>
          <w:tcPr>
            <w:tcW w:w="11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9</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8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4</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5</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71</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IV klasa/-y</w:t>
            </w:r>
          </w:p>
        </w:tc>
        <w:tc>
          <w:tcPr>
            <w:tcW w:w="107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26</w:t>
            </w:r>
          </w:p>
        </w:tc>
        <w:tc>
          <w:tcPr>
            <w:tcW w:w="84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w:t>
            </w:r>
          </w:p>
        </w:tc>
        <w:tc>
          <w:tcPr>
            <w:tcW w:w="117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9</w:t>
            </w:r>
          </w:p>
        </w:tc>
        <w:tc>
          <w:tcPr>
            <w:tcW w:w="109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w:t>
            </w:r>
          </w:p>
        </w:tc>
        <w:tc>
          <w:tcPr>
            <w:tcW w:w="84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10</w:t>
            </w:r>
          </w:p>
        </w:tc>
        <w:tc>
          <w:tcPr>
            <w:tcW w:w="86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5</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5</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70</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 klasa/-y</w:t>
            </w:r>
          </w:p>
        </w:tc>
        <w:tc>
          <w:tcPr>
            <w:tcW w:w="1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15</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9</w:t>
            </w:r>
          </w:p>
        </w:tc>
        <w:tc>
          <w:tcPr>
            <w:tcW w:w="11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14</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w:t>
            </w:r>
          </w:p>
        </w:tc>
        <w:tc>
          <w:tcPr>
            <w:tcW w:w="8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10</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11</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62</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VI klasa/-y</w:t>
            </w:r>
          </w:p>
        </w:tc>
        <w:tc>
          <w:tcPr>
            <w:tcW w:w="107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25</w:t>
            </w:r>
          </w:p>
        </w:tc>
        <w:tc>
          <w:tcPr>
            <w:tcW w:w="84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w:t>
            </w:r>
          </w:p>
        </w:tc>
        <w:tc>
          <w:tcPr>
            <w:tcW w:w="117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10</w:t>
            </w:r>
          </w:p>
        </w:tc>
        <w:tc>
          <w:tcPr>
            <w:tcW w:w="109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84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86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4</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0</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44</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VII klasa/-y</w:t>
            </w:r>
          </w:p>
        </w:tc>
        <w:tc>
          <w:tcPr>
            <w:tcW w:w="1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34</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22</w:t>
            </w:r>
          </w:p>
        </w:tc>
        <w:tc>
          <w:tcPr>
            <w:tcW w:w="11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18</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8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13</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8</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114</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VIII klasa/-y</w:t>
            </w:r>
          </w:p>
        </w:tc>
        <w:tc>
          <w:tcPr>
            <w:tcW w:w="107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31</w:t>
            </w:r>
          </w:p>
        </w:tc>
        <w:tc>
          <w:tcPr>
            <w:tcW w:w="84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15</w:t>
            </w:r>
          </w:p>
        </w:tc>
        <w:tc>
          <w:tcPr>
            <w:tcW w:w="117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17</w:t>
            </w:r>
          </w:p>
        </w:tc>
        <w:tc>
          <w:tcPr>
            <w:tcW w:w="109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w:t>
            </w:r>
          </w:p>
        </w:tc>
        <w:tc>
          <w:tcPr>
            <w:tcW w:w="84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w:t>
            </w:r>
          </w:p>
        </w:tc>
        <w:tc>
          <w:tcPr>
            <w:tcW w:w="86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9</w:t>
            </w:r>
          </w:p>
        </w:tc>
        <w:tc>
          <w:tcPr>
            <w:tcW w:w="9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8</w:t>
            </w:r>
          </w:p>
        </w:tc>
        <w:tc>
          <w:tcPr>
            <w:tcW w:w="85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w:t>
            </w:r>
          </w:p>
        </w:tc>
        <w:tc>
          <w:tcPr>
            <w:tcW w:w="75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96</w:t>
            </w:r>
          </w:p>
        </w:tc>
      </w:tr>
      <w:tr>
        <w:trPr>
          <w:trHeight w:val="300" w:hRule="atLeast"/>
        </w:trPr>
        <w:tc>
          <w:tcPr>
            <w:tcW w:w="1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Razem</w:t>
            </w:r>
          </w:p>
        </w:tc>
        <w:tc>
          <w:tcPr>
            <w:tcW w:w="1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304</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69</w:t>
            </w:r>
          </w:p>
        </w:tc>
        <w:tc>
          <w:tcPr>
            <w:tcW w:w="11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149</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38</w:t>
            </w:r>
          </w:p>
        </w:tc>
        <w:tc>
          <w:tcPr>
            <w:tcW w:w="8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95</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102</w:t>
            </w:r>
          </w:p>
        </w:tc>
        <w:tc>
          <w:tcPr>
            <w:tcW w:w="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70</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52</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rPr>
              <w:t>879</w:t>
            </w:r>
          </w:p>
        </w:tc>
      </w:tr>
    </w:tbl>
    <w:p>
      <w:pPr>
        <w:pStyle w:val="Normal"/>
        <w:spacing w:lineRule="auto" w:line="240" w:before="0" w:after="0"/>
        <w:jc w:val="center"/>
        <w:rPr>
          <w:rFonts w:cs="Calibri" w:cstheme="minorHAnsi"/>
          <w:i/>
          <w:i/>
          <w:iCs/>
        </w:rPr>
      </w:pPr>
      <w:bookmarkStart w:id="219" w:name="_Hlk118561893"/>
      <w:r>
        <w:rPr>
          <w:rFonts w:cs="Calibri" w:cstheme="minorHAnsi"/>
          <w:i/>
          <w:iCs/>
        </w:rPr>
        <w:t>Źródło:  Raport o stanie gminy Dwikozy za 2021 rok</w:t>
      </w:r>
      <w:bookmarkEnd w:id="219"/>
    </w:p>
    <w:p>
      <w:pPr>
        <w:pStyle w:val="NoSpacing"/>
        <w:jc w:val="center"/>
        <w:rPr>
          <w:rFonts w:ascii="Calibri" w:hAnsi="Calibri" w:cs="Calibri" w:asciiTheme="minorHAnsi" w:cstheme="minorHAnsi" w:hAnsiTheme="minorHAnsi"/>
          <w:color w:val="FF0000"/>
        </w:rPr>
      </w:pPr>
      <w:r>
        <w:rPr>
          <w:rFonts w:cs="Calibri" w:cstheme="minorHAnsi"/>
          <w:color w:val="FF0000"/>
        </w:rPr>
      </w:r>
    </w:p>
    <w:p>
      <w:pPr>
        <w:pStyle w:val="Caption"/>
        <w:spacing w:lineRule="auto" w:line="240" w:before="0" w:after="0"/>
        <w:jc w:val="center"/>
        <w:rPr>
          <w:rFonts w:ascii="Calibri" w:hAnsi="Calibri" w:cs="Calibri" w:asciiTheme="minorHAnsi" w:cstheme="minorHAnsi" w:hAnsiTheme="minorHAnsi"/>
          <w:b w:val="false"/>
          <w:b w:val="false"/>
          <w:bCs w:val="false"/>
          <w:color w:val="FF0000"/>
        </w:rPr>
      </w:pPr>
      <w:bookmarkStart w:id="220" w:name="_Toc118887786"/>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37</w:t>
      </w:r>
      <w:r>
        <w:rPr>
          <w:b w:val="false"/>
          <w:bCs w:val="false"/>
          <w:rFonts w:cs="Calibri"/>
        </w:rPr>
        <w:fldChar w:fldCharType="end"/>
      </w:r>
      <w:r>
        <w:rPr>
          <w:rFonts w:cs="Calibri" w:cstheme="minorHAnsi"/>
          <w:b w:val="false"/>
          <w:bCs w:val="false"/>
        </w:rPr>
        <w:t xml:space="preserve"> Nauczyciele pełnozatrudnieni i niepełnozatrudnieni w przeliczeniu na etaty</w:t>
      </w:r>
      <w:bookmarkEnd w:id="220"/>
      <w:r>
        <w:rPr>
          <w:rFonts w:cs="Calibri" w:cstheme="minorHAnsi"/>
          <w:b w:val="false"/>
          <w:bCs w:val="false"/>
        </w:rPr>
        <w:t xml:space="preserve"> </w:t>
      </w:r>
    </w:p>
    <w:tbl>
      <w:tblPr>
        <w:tblW w:w="84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40"/>
        <w:gridCol w:w="1340"/>
        <w:gridCol w:w="1340"/>
        <w:gridCol w:w="980"/>
        <w:gridCol w:w="980"/>
        <w:gridCol w:w="1124"/>
        <w:gridCol w:w="1350"/>
      </w:tblGrid>
      <w:tr>
        <w:trPr>
          <w:trHeight w:val="300" w:hRule="atLeast"/>
        </w:trPr>
        <w:tc>
          <w:tcPr>
            <w:tcW w:w="134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kategoria</w:t>
            </w:r>
          </w:p>
        </w:tc>
        <w:tc>
          <w:tcPr>
            <w:tcW w:w="13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2016</w:t>
            </w:r>
          </w:p>
        </w:tc>
        <w:tc>
          <w:tcPr>
            <w:tcW w:w="13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2017</w:t>
            </w:r>
          </w:p>
        </w:tc>
        <w:tc>
          <w:tcPr>
            <w:tcW w:w="98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2018</w:t>
            </w:r>
          </w:p>
        </w:tc>
        <w:tc>
          <w:tcPr>
            <w:tcW w:w="98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2019</w:t>
            </w:r>
          </w:p>
        </w:tc>
        <w:tc>
          <w:tcPr>
            <w:tcW w:w="1124"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2020</w:t>
            </w:r>
          </w:p>
        </w:tc>
        <w:tc>
          <w:tcPr>
            <w:tcW w:w="135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2021</w:t>
            </w:r>
          </w:p>
        </w:tc>
      </w:tr>
      <w:tr>
        <w:trPr>
          <w:trHeight w:val="300" w:hRule="atLeast"/>
        </w:trPr>
        <w:tc>
          <w:tcPr>
            <w:tcW w:w="1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ogółem</w:t>
            </w:r>
          </w:p>
        </w:tc>
        <w:tc>
          <w:tcPr>
            <w:tcW w:w="13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40.95</w:t>
            </w:r>
          </w:p>
        </w:tc>
        <w:tc>
          <w:tcPr>
            <w:tcW w:w="13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45.32</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55.25</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68.39</w:t>
            </w:r>
          </w:p>
        </w:tc>
        <w:tc>
          <w:tcPr>
            <w:tcW w:w="11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71.55</w:t>
            </w:r>
          </w:p>
        </w:tc>
        <w:tc>
          <w:tcPr>
            <w:tcW w:w="13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68.21</w:t>
            </w:r>
          </w:p>
        </w:tc>
      </w:tr>
      <w:tr>
        <w:trPr>
          <w:trHeight w:val="300" w:hRule="atLeast"/>
        </w:trPr>
        <w:tc>
          <w:tcPr>
            <w:tcW w:w="1340"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mężczyźni</w:t>
            </w:r>
          </w:p>
        </w:tc>
        <w:tc>
          <w:tcPr>
            <w:tcW w:w="13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7.95</w:t>
            </w:r>
          </w:p>
        </w:tc>
        <w:tc>
          <w:tcPr>
            <w:tcW w:w="13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8.56</w:t>
            </w:r>
          </w:p>
        </w:tc>
        <w:tc>
          <w:tcPr>
            <w:tcW w:w="98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9.56</w:t>
            </w:r>
          </w:p>
        </w:tc>
        <w:tc>
          <w:tcPr>
            <w:tcW w:w="98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13.12</w:t>
            </w:r>
          </w:p>
        </w:tc>
        <w:tc>
          <w:tcPr>
            <w:tcW w:w="1124"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13.28</w:t>
            </w:r>
          </w:p>
        </w:tc>
        <w:tc>
          <w:tcPr>
            <w:tcW w:w="135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11.69</w:t>
            </w:r>
          </w:p>
        </w:tc>
      </w:tr>
      <w:tr>
        <w:trPr>
          <w:trHeight w:val="300" w:hRule="atLeast"/>
        </w:trPr>
        <w:tc>
          <w:tcPr>
            <w:tcW w:w="1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kobiety</w:t>
            </w:r>
          </w:p>
        </w:tc>
        <w:tc>
          <w:tcPr>
            <w:tcW w:w="13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33.00</w:t>
            </w:r>
          </w:p>
        </w:tc>
        <w:tc>
          <w:tcPr>
            <w:tcW w:w="13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36.76</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45.69</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55.27</w:t>
            </w:r>
          </w:p>
        </w:tc>
        <w:tc>
          <w:tcPr>
            <w:tcW w:w="11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58.27</w:t>
            </w:r>
          </w:p>
        </w:tc>
        <w:tc>
          <w:tcPr>
            <w:tcW w:w="13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56.52</w:t>
            </w:r>
          </w:p>
        </w:tc>
      </w:tr>
    </w:tbl>
    <w:p>
      <w:pPr>
        <w:pStyle w:val="NoSpacing"/>
        <w:jc w:val="center"/>
        <w:rPr>
          <w:rFonts w:ascii="Calibri" w:hAnsi="Calibri" w:cs="Calibri" w:asciiTheme="minorHAnsi" w:cstheme="minorHAnsi" w:hAnsiTheme="minorHAnsi"/>
          <w:color w:val="FF0000"/>
          <w:sz w:val="20"/>
          <w:szCs w:val="20"/>
        </w:rPr>
      </w:pPr>
      <w:r>
        <w:rPr>
          <w:rFonts w:cs="Calibri" w:cstheme="minorHAnsi"/>
          <w:sz w:val="20"/>
          <w:szCs w:val="20"/>
        </w:rPr>
        <w:t>Źródło: opracowanie własne na podstawie danych GUS</w:t>
      </w:r>
    </w:p>
    <w:p>
      <w:pPr>
        <w:pStyle w:val="NoSpacing"/>
        <w:jc w:val="center"/>
        <w:rPr>
          <w:rFonts w:ascii="Calibri" w:hAnsi="Calibri" w:cs="Calibri" w:asciiTheme="minorHAnsi" w:cstheme="minorHAnsi" w:hAnsiTheme="minorHAnsi"/>
          <w:color w:val="FF0000"/>
          <w:highlight w:val="yellow"/>
        </w:rPr>
      </w:pPr>
      <w:r>
        <w:rPr>
          <w:rFonts w:cs="Calibri" w:cstheme="minorHAnsi"/>
          <w:color w:val="FF0000"/>
          <w:highlight w:val="yellow"/>
        </w:rPr>
      </w:r>
    </w:p>
    <w:p>
      <w:pPr>
        <w:pStyle w:val="NoSpacing"/>
        <w:jc w:val="both"/>
        <w:rPr>
          <w:rFonts w:ascii="Calibri" w:hAnsi="Calibri" w:cs="Calibri" w:asciiTheme="minorHAnsi" w:cstheme="minorHAnsi" w:hAnsiTheme="minorHAnsi"/>
          <w:b/>
          <w:b/>
          <w:bCs/>
        </w:rPr>
      </w:pPr>
      <w:bookmarkStart w:id="221" w:name="_Toc69212096"/>
      <w:r>
        <w:rPr>
          <w:rFonts w:cs="Calibri" w:cstheme="minorHAnsi"/>
          <w:b/>
          <w:bCs/>
        </w:rPr>
        <w:t>Uczniowie o specjalnych potrzebach edukacyjnych</w:t>
      </w:r>
      <w:bookmarkEnd w:id="221"/>
    </w:p>
    <w:p>
      <w:pPr>
        <w:pStyle w:val="NoSpacing"/>
        <w:jc w:val="both"/>
        <w:rPr>
          <w:rFonts w:ascii="Calibri" w:hAnsi="Calibri" w:cs="Calibri" w:asciiTheme="minorHAnsi" w:cstheme="minorHAnsi" w:hAnsiTheme="minorHAnsi"/>
        </w:rPr>
      </w:pPr>
      <w:r>
        <w:rPr>
          <w:rFonts w:cs="Calibri" w:cstheme="minorHAnsi"/>
        </w:rPr>
        <w:t xml:space="preserve">Szczególnej uwagi wymaga problem dzieci ze specjalnymi potrzebami edukacyjnymi. Najliczniejszą grupę stanowią uczniowie o obniżonych funkcjach percepcyjno – motorycznych. Dzieci z tego rodzaju dysfunkcją uczestniczą w zajęciach korekcyjno – kompensacyjnych. Natomiast uczniowie </w:t>
        <w:br/>
        <w:t xml:space="preserve">z zaburzeniami mowy korzystają z terapii logopedycznej. Kolejną grupę stanowią dzieci </w:t>
        <w:br/>
        <w:t xml:space="preserve">z niepełnosprawnością. Dyrektor szkoły ma obowiązek zorganizować naukę dziecku niepełnoprawnemu na podstawie rozporządzenia Ministra Edukacji Narodowej </w:t>
      </w:r>
      <w:r>
        <w:rPr>
          <w:rFonts w:cs="Calibri" w:cstheme="minorHAnsi"/>
          <w:i/>
          <w:iCs/>
        </w:rPr>
        <w:t xml:space="preserve">w sprawie sposobu </w:t>
        <w:br/>
        <w:t>i trybu organizowania indywidualnego nauczania dzieci i młodzieży</w:t>
      </w:r>
      <w:r>
        <w:rPr>
          <w:rFonts w:cs="Calibri" w:cstheme="minorHAnsi"/>
        </w:rPr>
        <w:t xml:space="preserve">. Decyzja o liczbie godzin podejmowana jest przez dyrektora szkoły i organ prowadzący po uzyskaniu orzeczenia o potrzebie indywidualnego nauczania lub indywidualnego nauczania systemem szkoły specjalnej z Poradni Psychologiczno-Pedagogicznej. </w:t>
      </w:r>
    </w:p>
    <w:p>
      <w:pPr>
        <w:pStyle w:val="NoSpacing"/>
        <w:jc w:val="both"/>
        <w:rPr>
          <w:rFonts w:ascii="Calibri" w:hAnsi="Calibri" w:cs="Calibri" w:asciiTheme="minorHAnsi" w:cstheme="minorHAnsi" w:hAnsiTheme="minorHAnsi"/>
          <w:color w:val="FF0000"/>
        </w:rPr>
      </w:pPr>
      <w:r>
        <w:rPr>
          <w:rFonts w:cs="Calibri" w:cstheme="minorHAnsi"/>
          <w:color w:val="FF0000"/>
        </w:rPr>
      </w:r>
    </w:p>
    <w:p>
      <w:pPr>
        <w:pStyle w:val="NoSpacing"/>
        <w:jc w:val="both"/>
        <w:rPr>
          <w:rFonts w:ascii="Calibri" w:hAnsi="Calibri" w:cs="Calibri" w:asciiTheme="minorHAnsi" w:cstheme="minorHAnsi" w:hAnsiTheme="minorHAnsi"/>
        </w:rPr>
      </w:pPr>
      <w:r>
        <w:rPr>
          <w:rFonts w:cs="Calibri" w:cstheme="minorHAnsi"/>
        </w:rPr>
        <w:t>Działalność dydaktyczna (przedmiotowa), wychowawczo-opiekuńcza szkoły wspierana jest dodatkowymi godzinami, które można podzielić na następujące kategorie zajęć z uczniami:</w:t>
      </w:r>
    </w:p>
    <w:p>
      <w:pPr>
        <w:pStyle w:val="NoSpacing"/>
        <w:jc w:val="both"/>
        <w:rPr>
          <w:rFonts w:ascii="Calibri" w:hAnsi="Calibri" w:cs="Calibri" w:asciiTheme="minorHAnsi" w:cstheme="minorHAnsi" w:hAnsiTheme="minorHAnsi"/>
        </w:rPr>
      </w:pPr>
      <w:r>
        <w:rPr>
          <w:rFonts w:cs="Calibri" w:cstheme="minorHAnsi"/>
        </w:rPr>
        <w:t>1. opieka świetlicowa,</w:t>
      </w:r>
    </w:p>
    <w:p>
      <w:pPr>
        <w:pStyle w:val="NoSpacing"/>
        <w:jc w:val="both"/>
        <w:rPr>
          <w:rFonts w:ascii="Calibri" w:hAnsi="Calibri" w:cs="Calibri" w:asciiTheme="minorHAnsi" w:cstheme="minorHAnsi" w:hAnsiTheme="minorHAnsi"/>
        </w:rPr>
      </w:pPr>
      <w:r>
        <w:rPr>
          <w:rFonts w:cs="Calibri" w:cstheme="minorHAnsi"/>
        </w:rPr>
        <w:t>2. praca biblioteki szkolnej,</w:t>
      </w:r>
    </w:p>
    <w:p>
      <w:pPr>
        <w:pStyle w:val="NoSpacing"/>
        <w:jc w:val="both"/>
        <w:rPr>
          <w:rFonts w:ascii="Calibri" w:hAnsi="Calibri" w:cs="Calibri" w:asciiTheme="minorHAnsi" w:cstheme="minorHAnsi" w:hAnsiTheme="minorHAnsi"/>
        </w:rPr>
      </w:pPr>
      <w:r>
        <w:rPr>
          <w:rFonts w:cs="Calibri" w:cstheme="minorHAnsi"/>
        </w:rPr>
        <w:t>3. praca pedagoga szkolnego,</w:t>
      </w:r>
    </w:p>
    <w:p>
      <w:pPr>
        <w:pStyle w:val="NoSpacing"/>
        <w:jc w:val="both"/>
        <w:rPr>
          <w:rFonts w:ascii="Calibri" w:hAnsi="Calibri" w:cs="Calibri" w:asciiTheme="minorHAnsi" w:cstheme="minorHAnsi" w:hAnsiTheme="minorHAnsi"/>
        </w:rPr>
      </w:pPr>
      <w:r>
        <w:rPr>
          <w:rFonts w:cs="Calibri" w:cstheme="minorHAnsi"/>
        </w:rPr>
        <w:t xml:space="preserve">4. dodatkowe zajęcia i czynności wspomagające naukę i rozwój uczniów np. zajęcia logopedyczne, rewalidacyjne, rozwijające kompetencje kluczowe. </w:t>
      </w:r>
    </w:p>
    <w:p>
      <w:pPr>
        <w:pStyle w:val="NoSpacing"/>
        <w:jc w:val="both"/>
        <w:rPr>
          <w:rFonts w:ascii="Calibri" w:hAnsi="Calibri" w:cs="Calibri" w:asciiTheme="minorHAnsi" w:cstheme="minorHAnsi" w:hAnsiTheme="minorHAnsi"/>
          <w:color w:val="FF0000"/>
        </w:rPr>
      </w:pPr>
      <w:r>
        <w:rPr>
          <w:rFonts w:cs="Calibri" w:cstheme="minorHAnsi"/>
          <w:color w:val="FF0000"/>
        </w:rPr>
      </w:r>
    </w:p>
    <w:p>
      <w:pPr>
        <w:pStyle w:val="NoSpacing"/>
        <w:jc w:val="both"/>
        <w:rPr>
          <w:rFonts w:ascii="Calibri" w:hAnsi="Calibri" w:cs="Calibri" w:asciiTheme="minorHAnsi" w:cstheme="minorHAnsi" w:hAnsiTheme="minorHAnsi"/>
        </w:rPr>
      </w:pPr>
      <w:r>
        <w:rPr>
          <w:rFonts w:cs="Calibri" w:cstheme="minorHAnsi"/>
        </w:rPr>
        <w:t xml:space="preserve">We wszystkich szkołach na terenie gminy w razie wystąpienia potrzeby prowadzona jest specjalna organizacja nauki dla uczniów posiadających orzeczenie o potrzebie kształcenia specjalnego. </w:t>
      </w:r>
    </w:p>
    <w:p>
      <w:pPr>
        <w:pStyle w:val="NoSpacing"/>
        <w:jc w:val="both"/>
        <w:rPr>
          <w:rFonts w:ascii="Calibri" w:hAnsi="Calibri" w:cs="Calibri" w:asciiTheme="minorHAnsi" w:cstheme="minorHAnsi" w:hAnsiTheme="minorHAnsi"/>
          <w:color w:val="FF0000"/>
        </w:rPr>
      </w:pPr>
      <w:r>
        <w:rPr>
          <w:rFonts w:cs="Calibri" w:cstheme="minorHAnsi"/>
          <w:color w:val="FF0000"/>
        </w:rPr>
      </w:r>
    </w:p>
    <w:p>
      <w:pPr>
        <w:pStyle w:val="NoSpacing"/>
        <w:jc w:val="both"/>
        <w:rPr>
          <w:rFonts w:ascii="Calibri" w:hAnsi="Calibri" w:cs="Calibri" w:asciiTheme="minorHAnsi" w:cstheme="minorHAnsi" w:hAnsiTheme="minorHAnsi"/>
          <w:b/>
          <w:b/>
          <w:bCs/>
        </w:rPr>
      </w:pPr>
      <w:bookmarkStart w:id="222" w:name="_Toc69212097"/>
      <w:r>
        <w:rPr>
          <w:rFonts w:cs="Calibri" w:cstheme="minorHAnsi"/>
          <w:b/>
          <w:bCs/>
        </w:rPr>
        <w:t>Wyniki uzyskane w ogólnopolskich egzaminach</w:t>
      </w:r>
      <w:bookmarkEnd w:id="222"/>
    </w:p>
    <w:p>
      <w:pPr>
        <w:pStyle w:val="NoSpacing"/>
        <w:jc w:val="both"/>
        <w:rPr>
          <w:rFonts w:ascii="Calibri" w:hAnsi="Calibri" w:cs="Calibri" w:asciiTheme="minorHAnsi" w:cstheme="minorHAnsi" w:hAnsiTheme="minorHAnsi"/>
        </w:rPr>
      </w:pPr>
      <w:r>
        <w:rPr>
          <w:rFonts w:cs="Calibri" w:cstheme="minorHAnsi"/>
        </w:rPr>
        <w:t>Osiągnięcia edukacyjne uczniów są badane co roku poprzez egzaminy zewnętrzne. Reforma systemu oświaty przeprowadzona w 2017 roku zlikwidowała gimnazja oraz zmodyfikowała system klas podstawowych z 1-6 na klasy 1-8. Reforma, po ukończeniu szkoły podstawowej, wprowadziła (do wyboru):</w:t>
      </w:r>
    </w:p>
    <w:p>
      <w:pPr>
        <w:pStyle w:val="NoSpacing"/>
        <w:numPr>
          <w:ilvl w:val="0"/>
          <w:numId w:val="9"/>
        </w:numPr>
        <w:jc w:val="both"/>
        <w:rPr>
          <w:rFonts w:ascii="Calibri" w:hAnsi="Calibri" w:cs="Calibri" w:asciiTheme="minorHAnsi" w:cstheme="minorHAnsi" w:hAnsiTheme="minorHAnsi"/>
        </w:rPr>
      </w:pPr>
      <w:r>
        <w:rPr>
          <w:rFonts w:cs="Calibri" w:cstheme="minorHAnsi"/>
        </w:rPr>
        <w:t>4-letnie liceum ogólnokształcące,</w:t>
      </w:r>
    </w:p>
    <w:p>
      <w:pPr>
        <w:pStyle w:val="NoSpacing"/>
        <w:numPr>
          <w:ilvl w:val="0"/>
          <w:numId w:val="9"/>
        </w:numPr>
        <w:jc w:val="both"/>
        <w:rPr>
          <w:rFonts w:ascii="Calibri" w:hAnsi="Calibri" w:cs="Calibri" w:asciiTheme="minorHAnsi" w:cstheme="minorHAnsi" w:hAnsiTheme="minorHAnsi"/>
        </w:rPr>
      </w:pPr>
      <w:r>
        <w:rPr>
          <w:rFonts w:cs="Calibri" w:cstheme="minorHAnsi"/>
        </w:rPr>
        <w:t>5-letnie technikum,</w:t>
      </w:r>
    </w:p>
    <w:p>
      <w:pPr>
        <w:pStyle w:val="NoSpacing"/>
        <w:numPr>
          <w:ilvl w:val="0"/>
          <w:numId w:val="9"/>
        </w:numPr>
        <w:jc w:val="both"/>
        <w:rPr>
          <w:rFonts w:ascii="Calibri" w:hAnsi="Calibri" w:cs="Calibri" w:asciiTheme="minorHAnsi" w:cstheme="minorHAnsi" w:hAnsiTheme="minorHAnsi"/>
        </w:rPr>
      </w:pPr>
      <w:r>
        <w:rPr>
          <w:rFonts w:cs="Calibri" w:cstheme="minorHAnsi"/>
        </w:rPr>
        <w:t>3-letnią szkoła branżowa I stopnia,</w:t>
      </w:r>
    </w:p>
    <w:p>
      <w:pPr>
        <w:pStyle w:val="NoSpacing"/>
        <w:numPr>
          <w:ilvl w:val="0"/>
          <w:numId w:val="9"/>
        </w:numPr>
        <w:jc w:val="both"/>
        <w:rPr>
          <w:rFonts w:ascii="Calibri" w:hAnsi="Calibri" w:cs="Calibri" w:asciiTheme="minorHAnsi" w:cstheme="minorHAnsi" w:hAnsiTheme="minorHAnsi"/>
        </w:rPr>
      </w:pPr>
      <w:r>
        <w:rPr>
          <w:rFonts w:cs="Calibri" w:cstheme="minorHAnsi"/>
        </w:rPr>
        <w:t>2-letnią szkoła branżowa II stopnia.</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 xml:space="preserve">Od roku szkolnego 2017/18 nie prowadziło się już rekrutacji do klas I dotychczasowego gimnazjum oraz zasadniczej szkoły zawodowej (przekształcanej w szkołę branżową I stopnia). 31 sierpnia 2019 roku był ostatnim dniem funkcjonowania tych szkół w ustroju szkolnym. </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b/>
          <w:b/>
          <w:bCs/>
        </w:rPr>
      </w:pPr>
      <w:r>
        <w:rPr>
          <w:rFonts w:cs="Calibri" w:cstheme="minorHAnsi"/>
          <w:b/>
          <w:bCs/>
        </w:rPr>
        <w:t xml:space="preserve">Sprawdzian 8-klasity </w:t>
      </w:r>
    </w:p>
    <w:p>
      <w:pPr>
        <w:pStyle w:val="NoSpacing"/>
        <w:jc w:val="both"/>
        <w:rPr>
          <w:rFonts w:ascii="Calibri" w:hAnsi="Calibri" w:cs="Calibri" w:asciiTheme="minorHAnsi" w:cstheme="minorHAnsi" w:hAnsiTheme="minorHAnsi"/>
          <w:b/>
          <w:b/>
          <w:bCs/>
        </w:rPr>
      </w:pPr>
      <w:r>
        <w:rPr>
          <w:rFonts w:cs="Calibri" w:cstheme="minorHAnsi"/>
          <w:b/>
          <w:bCs/>
        </w:rPr>
      </w:r>
    </w:p>
    <w:p>
      <w:pPr>
        <w:pStyle w:val="NoSpacing"/>
        <w:jc w:val="center"/>
        <w:rPr>
          <w:rFonts w:ascii="Calibri" w:hAnsi="Calibri" w:cs="Calibri" w:asciiTheme="minorHAnsi" w:cstheme="minorHAnsi" w:hAnsiTheme="minorHAnsi"/>
          <w:sz w:val="20"/>
          <w:szCs w:val="20"/>
        </w:rPr>
      </w:pPr>
      <w:bookmarkStart w:id="223" w:name="_Toc118887787"/>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38</w:t>
      </w:r>
      <w:r>
        <w:rPr>
          <w:sz w:val="20"/>
          <w:szCs w:val="20"/>
          <w:rFonts w:cs="Calibri"/>
        </w:rPr>
        <w:fldChar w:fldCharType="end"/>
      </w:r>
      <w:r>
        <w:rPr>
          <w:rFonts w:cs="Calibri" w:cstheme="minorHAnsi"/>
          <w:sz w:val="20"/>
          <w:szCs w:val="20"/>
        </w:rPr>
        <w:t xml:space="preserve"> Wyniki uczniów szkół podstawowych z Gminy Dwikozy z egzaminu ósmoklasisty w 2022r.</w:t>
      </w:r>
      <w:bookmarkEnd w:id="223"/>
    </w:p>
    <w:tbl>
      <w:tblPr>
        <w:tblW w:w="104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692"/>
        <w:gridCol w:w="1006"/>
        <w:gridCol w:w="940"/>
        <w:gridCol w:w="1004"/>
        <w:gridCol w:w="941"/>
        <w:gridCol w:w="1004"/>
        <w:gridCol w:w="941"/>
        <w:gridCol w:w="1004"/>
        <w:gridCol w:w="940"/>
      </w:tblGrid>
      <w:tr>
        <w:trPr>
          <w:trHeight w:val="288" w:hRule="atLeast"/>
        </w:trPr>
        <w:tc>
          <w:tcPr>
            <w:tcW w:w="269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Wyszczególnienie</w:t>
            </w:r>
          </w:p>
        </w:tc>
        <w:tc>
          <w:tcPr>
            <w:tcW w:w="1946" w:type="dxa"/>
            <w:gridSpan w:val="2"/>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język polski</w:t>
            </w:r>
          </w:p>
        </w:tc>
        <w:tc>
          <w:tcPr>
            <w:tcW w:w="1945" w:type="dxa"/>
            <w:gridSpan w:val="2"/>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matematyka</w:t>
            </w:r>
          </w:p>
        </w:tc>
        <w:tc>
          <w:tcPr>
            <w:tcW w:w="1945" w:type="dxa"/>
            <w:gridSpan w:val="2"/>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język angielski</w:t>
            </w:r>
          </w:p>
        </w:tc>
        <w:tc>
          <w:tcPr>
            <w:tcW w:w="1944" w:type="dxa"/>
            <w:gridSpan w:val="2"/>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język niemiecki</w:t>
            </w:r>
          </w:p>
        </w:tc>
      </w:tr>
      <w:tr>
        <w:trPr>
          <w:trHeight w:val="552" w:hRule="atLeast"/>
        </w:trPr>
        <w:tc>
          <w:tcPr>
            <w:tcW w:w="2692" w:type="dxa"/>
            <w:tcBorders>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Nazwa szkoły</w:t>
            </w:r>
          </w:p>
        </w:tc>
        <w:tc>
          <w:tcPr>
            <w:tcW w:w="1006"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liczba zdających</w:t>
            </w:r>
          </w:p>
        </w:tc>
        <w:tc>
          <w:tcPr>
            <w:tcW w:w="940"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wynik średni (%)</w:t>
            </w:r>
          </w:p>
        </w:tc>
        <w:tc>
          <w:tcPr>
            <w:tcW w:w="1004"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liczba zdających</w:t>
            </w:r>
          </w:p>
        </w:tc>
        <w:tc>
          <w:tcPr>
            <w:tcW w:w="941"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wynik średni (%)</w:t>
            </w:r>
          </w:p>
        </w:tc>
        <w:tc>
          <w:tcPr>
            <w:tcW w:w="1004"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liczba zdających</w:t>
            </w:r>
          </w:p>
        </w:tc>
        <w:tc>
          <w:tcPr>
            <w:tcW w:w="941"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wynik średni (%)</w:t>
            </w:r>
          </w:p>
        </w:tc>
        <w:tc>
          <w:tcPr>
            <w:tcW w:w="1004"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liczba zdających</w:t>
            </w:r>
          </w:p>
        </w:tc>
        <w:tc>
          <w:tcPr>
            <w:tcW w:w="940"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sz w:val="20"/>
                <w:szCs w:val="20"/>
                <w:lang w:val="en-US"/>
              </w:rPr>
            </w:pPr>
            <w:r>
              <w:rPr>
                <w:rFonts w:eastAsia="Times New Roman" w:cs="Calibri" w:cstheme="minorHAnsi"/>
                <w:color w:val="000000"/>
                <w:sz w:val="20"/>
                <w:szCs w:val="20"/>
                <w:lang w:val="en-US"/>
              </w:rPr>
              <w:t>wynik średni (%)</w:t>
            </w:r>
          </w:p>
        </w:tc>
      </w:tr>
      <w:tr>
        <w:trPr>
          <w:trHeight w:val="576" w:hRule="atLeast"/>
        </w:trPr>
        <w:tc>
          <w:tcPr>
            <w:tcW w:w="269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ZAWISZY CZARNEGO HERBU SULIMA W STARYM GARBOWIE</w:t>
            </w:r>
          </w:p>
        </w:tc>
        <w:tc>
          <w:tcPr>
            <w:tcW w:w="10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64</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64</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288" w:hRule="atLeast"/>
        </w:trPr>
        <w:tc>
          <w:tcPr>
            <w:tcW w:w="269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JANA PAWŁA II W MŚCIOWIE</w:t>
            </w:r>
          </w:p>
        </w:tc>
        <w:tc>
          <w:tcPr>
            <w:tcW w:w="1006"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68</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76</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91</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576" w:hRule="atLeast"/>
        </w:trPr>
        <w:tc>
          <w:tcPr>
            <w:tcW w:w="269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WINCENTEGO BURKA W GAŁKOWICACH</w:t>
            </w:r>
          </w:p>
        </w:tc>
        <w:tc>
          <w:tcPr>
            <w:tcW w:w="10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576" w:hRule="atLeast"/>
        </w:trPr>
        <w:tc>
          <w:tcPr>
            <w:tcW w:w="269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KORNELA MAKUSZYŃSKIEGO W GIERLACHOWIE</w:t>
            </w:r>
          </w:p>
        </w:tc>
        <w:tc>
          <w:tcPr>
            <w:tcW w:w="1006"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17</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17</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57</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17</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64</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576" w:hRule="atLeast"/>
        </w:trPr>
        <w:tc>
          <w:tcPr>
            <w:tcW w:w="269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ZIEMI SANDOMIERSKIEJ W SŁUPCZY</w:t>
            </w:r>
          </w:p>
        </w:tc>
        <w:tc>
          <w:tcPr>
            <w:tcW w:w="10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15</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15</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49</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15</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61</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576" w:hRule="atLeast"/>
        </w:trPr>
        <w:tc>
          <w:tcPr>
            <w:tcW w:w="269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STEFANA ŻEROMSKIEGO W WINIARACH</w:t>
            </w:r>
          </w:p>
        </w:tc>
        <w:tc>
          <w:tcPr>
            <w:tcW w:w="1006"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52</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576" w:hRule="atLeast"/>
        </w:trPr>
        <w:tc>
          <w:tcPr>
            <w:tcW w:w="269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POWSTAŃCÓW STYCZNIOWYCH W DWIKOZACH</w:t>
            </w:r>
          </w:p>
        </w:tc>
        <w:tc>
          <w:tcPr>
            <w:tcW w:w="10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31</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31</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47</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30</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62</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576" w:hRule="atLeast"/>
        </w:trPr>
        <w:tc>
          <w:tcPr>
            <w:tcW w:w="269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rPr>
            </w:pPr>
            <w:r>
              <w:rPr>
                <w:rFonts w:eastAsia="Times New Roman" w:cs="Calibri" w:cstheme="minorHAnsi"/>
                <w:color w:val="000000"/>
              </w:rPr>
              <w:t>SZKOŁA PODSTAWOWA IM. POWSTAŃCÓW STYCZNIOWYCH „PUŁAWIAKÓW” W GÓRACH WYSOKICH</w:t>
            </w:r>
          </w:p>
        </w:tc>
        <w:tc>
          <w:tcPr>
            <w:tcW w:w="1006"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65</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43</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59</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t>
            </w:r>
          </w:p>
        </w:tc>
      </w:tr>
      <w:tr>
        <w:trPr>
          <w:trHeight w:val="288" w:hRule="atLeast"/>
        </w:trPr>
        <w:tc>
          <w:tcPr>
            <w:tcW w:w="269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Gmina</w:t>
            </w:r>
          </w:p>
        </w:tc>
        <w:tc>
          <w:tcPr>
            <w:tcW w:w="10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94</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94</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52</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92</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63</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r>
          </w:p>
        </w:tc>
      </w:tr>
      <w:tr>
        <w:trPr>
          <w:trHeight w:val="288" w:hRule="atLeast"/>
        </w:trPr>
        <w:tc>
          <w:tcPr>
            <w:tcW w:w="2692"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Powiat</w:t>
            </w:r>
          </w:p>
        </w:tc>
        <w:tc>
          <w:tcPr>
            <w:tcW w:w="1006"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900</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900</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53</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895</w:t>
            </w:r>
          </w:p>
        </w:tc>
        <w:tc>
          <w:tcPr>
            <w:tcW w:w="9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60</w:t>
            </w:r>
          </w:p>
        </w:tc>
        <w:tc>
          <w:tcPr>
            <w:tcW w:w="1004"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w:t>
            </w:r>
          </w:p>
        </w:tc>
        <w:tc>
          <w:tcPr>
            <w:tcW w:w="940"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78</w:t>
            </w:r>
          </w:p>
        </w:tc>
      </w:tr>
      <w:tr>
        <w:trPr>
          <w:trHeight w:val="288" w:hRule="atLeast"/>
        </w:trPr>
        <w:tc>
          <w:tcPr>
            <w:tcW w:w="2692"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Województwo świętorzyskie</w:t>
            </w:r>
          </w:p>
        </w:tc>
        <w:tc>
          <w:tcPr>
            <w:tcW w:w="10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14837</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59</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14834</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57</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14684</w:t>
            </w:r>
          </w:p>
        </w:tc>
        <w:tc>
          <w:tcPr>
            <w:tcW w:w="9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65</w:t>
            </w:r>
          </w:p>
        </w:tc>
        <w:tc>
          <w:tcPr>
            <w:tcW w:w="10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164</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60</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dane Okręgowej Komisji Egzaminacyjnej w Łodzi</w:t>
      </w:r>
    </w:p>
    <w:p>
      <w:pPr>
        <w:pStyle w:val="NoSpacing"/>
        <w:jc w:val="both"/>
        <w:rPr>
          <w:rFonts w:ascii="Calibri" w:hAnsi="Calibri" w:cs="Calibri" w:asciiTheme="minorHAnsi" w:cstheme="minorHAnsi" w:hAnsiTheme="minorHAnsi"/>
          <w:b/>
          <w:b/>
          <w:bCs/>
        </w:rPr>
      </w:pPr>
      <w:r>
        <w:rPr>
          <w:rFonts w:cs="Calibri" w:cstheme="minorHAnsi"/>
          <w:b/>
          <w:bCs/>
        </w:rPr>
        <w:t>Interpretacja wyników sprawdzianu 8-klasity - 2022</w:t>
      </w:r>
    </w:p>
    <w:p>
      <w:pPr>
        <w:pStyle w:val="NoSpacing"/>
        <w:jc w:val="both"/>
        <w:rPr>
          <w:rFonts w:ascii="Calibri" w:hAnsi="Calibri" w:cs="Calibri" w:asciiTheme="minorHAnsi" w:cstheme="minorHAnsi" w:hAnsiTheme="minorHAnsi"/>
        </w:rPr>
      </w:pPr>
      <w:r>
        <w:rPr>
          <w:rFonts w:cs="Calibri" w:cstheme="minorHAnsi"/>
        </w:rPr>
        <w:t>J. angielski – średnie wyniki:</w:t>
      </w:r>
    </w:p>
    <w:p>
      <w:pPr>
        <w:pStyle w:val="NoSpacing"/>
        <w:numPr>
          <w:ilvl w:val="0"/>
          <w:numId w:val="15"/>
        </w:numPr>
        <w:jc w:val="both"/>
        <w:rPr>
          <w:rFonts w:ascii="Calibri" w:hAnsi="Calibri" w:cs="Calibri" w:asciiTheme="minorHAnsi" w:cstheme="minorHAnsi" w:hAnsiTheme="minorHAnsi"/>
        </w:rPr>
      </w:pPr>
      <w:r>
        <w:rPr>
          <w:rFonts w:cs="Calibri" w:cstheme="minorHAnsi"/>
        </w:rPr>
        <w:t>kraju (67%),</w:t>
      </w:r>
    </w:p>
    <w:p>
      <w:pPr>
        <w:pStyle w:val="NoSpacing"/>
        <w:numPr>
          <w:ilvl w:val="0"/>
          <w:numId w:val="15"/>
        </w:numPr>
        <w:jc w:val="both"/>
        <w:rPr>
          <w:rFonts w:ascii="Calibri" w:hAnsi="Calibri" w:cs="Calibri" w:asciiTheme="minorHAnsi" w:cstheme="minorHAnsi" w:hAnsiTheme="minorHAnsi"/>
        </w:rPr>
      </w:pPr>
      <w:r>
        <w:rPr>
          <w:rFonts w:cs="Calibri" w:cstheme="minorHAnsi"/>
        </w:rPr>
        <w:t xml:space="preserve">dla powiatu (60%), </w:t>
      </w:r>
    </w:p>
    <w:p>
      <w:pPr>
        <w:pStyle w:val="NoSpacing"/>
        <w:numPr>
          <w:ilvl w:val="0"/>
          <w:numId w:val="15"/>
        </w:numPr>
        <w:jc w:val="both"/>
        <w:rPr>
          <w:rFonts w:ascii="Calibri" w:hAnsi="Calibri" w:cs="Calibri" w:asciiTheme="minorHAnsi" w:cstheme="minorHAnsi" w:hAnsiTheme="minorHAnsi"/>
        </w:rPr>
      </w:pPr>
      <w:r>
        <w:rPr>
          <w:rFonts w:cs="Calibri" w:cstheme="minorHAnsi"/>
        </w:rPr>
        <w:t>dla województwa (65%).</w:t>
      </w:r>
    </w:p>
    <w:p>
      <w:pPr>
        <w:pStyle w:val="NoSpacing"/>
        <w:jc w:val="both"/>
        <w:rPr>
          <w:rFonts w:ascii="Calibri" w:hAnsi="Calibri" w:cs="Calibri" w:asciiTheme="minorHAnsi" w:cstheme="minorHAnsi" w:hAnsiTheme="minorHAnsi"/>
        </w:rPr>
      </w:pPr>
      <w:r>
        <w:rPr>
          <w:rFonts w:cs="Calibri" w:cstheme="minorHAnsi"/>
        </w:rPr>
        <w:t>1 na 8 szkół w gminie uzyskała wynik lepszy od średniej krajowej,</w:t>
      </w:r>
    </w:p>
    <w:p>
      <w:pPr>
        <w:pStyle w:val="NoSpacing"/>
        <w:jc w:val="both"/>
        <w:rPr>
          <w:rFonts w:ascii="Calibri" w:hAnsi="Calibri" w:cs="Calibri" w:asciiTheme="minorHAnsi" w:cstheme="minorHAnsi" w:hAnsiTheme="minorHAnsi"/>
        </w:rPr>
      </w:pPr>
      <w:r>
        <w:rPr>
          <w:rFonts w:cs="Calibri" w:cstheme="minorHAnsi"/>
        </w:rPr>
        <w:t>1 na 8 szkół w gminie uzyskała wynik lepszy od średniej wojewódzkiej,</w:t>
      </w:r>
    </w:p>
    <w:p>
      <w:pPr>
        <w:pStyle w:val="NoSpacing"/>
        <w:jc w:val="both"/>
        <w:rPr>
          <w:rFonts w:ascii="Calibri" w:hAnsi="Calibri" w:cs="Calibri" w:asciiTheme="minorHAnsi" w:cstheme="minorHAnsi" w:hAnsiTheme="minorHAnsi"/>
        </w:rPr>
      </w:pPr>
      <w:r>
        <w:rPr>
          <w:rFonts w:cs="Calibri" w:cstheme="minorHAnsi"/>
        </w:rPr>
        <w:t>5 na 8 szkół w gminie uzyskało wynik lepszy od średniej powiatowej,</w:t>
      </w:r>
    </w:p>
    <w:p>
      <w:pPr>
        <w:pStyle w:val="NoSpacing"/>
        <w:jc w:val="both"/>
        <w:rPr>
          <w:rFonts w:ascii="Calibri" w:hAnsi="Calibri" w:cs="Calibri" w:asciiTheme="minorHAnsi" w:cstheme="minorHAnsi" w:hAnsiTheme="minorHAnsi"/>
        </w:rPr>
      </w:pPr>
      <w:r>
        <w:rPr>
          <w:rFonts w:cs="Calibri" w:cstheme="minorHAnsi"/>
        </w:rPr>
        <w:t>3 na 8 szkół w gminie uzyskały wynik lepszy od średniej dla gminy.</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Matematyka – średnie wyniki:</w:t>
      </w:r>
    </w:p>
    <w:p>
      <w:pPr>
        <w:pStyle w:val="NoSpacing"/>
        <w:numPr>
          <w:ilvl w:val="0"/>
          <w:numId w:val="15"/>
        </w:numPr>
        <w:jc w:val="both"/>
        <w:rPr>
          <w:rFonts w:ascii="Calibri" w:hAnsi="Calibri" w:cs="Calibri" w:asciiTheme="minorHAnsi" w:cstheme="minorHAnsi" w:hAnsiTheme="minorHAnsi"/>
        </w:rPr>
      </w:pPr>
      <w:r>
        <w:rPr>
          <w:rFonts w:cs="Calibri" w:cstheme="minorHAnsi"/>
        </w:rPr>
        <w:t>kraju (57%),</w:t>
      </w:r>
    </w:p>
    <w:p>
      <w:pPr>
        <w:pStyle w:val="NoSpacing"/>
        <w:numPr>
          <w:ilvl w:val="0"/>
          <w:numId w:val="15"/>
        </w:numPr>
        <w:jc w:val="both"/>
        <w:rPr>
          <w:rFonts w:ascii="Calibri" w:hAnsi="Calibri" w:cs="Calibri" w:asciiTheme="minorHAnsi" w:cstheme="minorHAnsi" w:hAnsiTheme="minorHAnsi"/>
        </w:rPr>
      </w:pPr>
      <w:r>
        <w:rPr>
          <w:rFonts w:cs="Calibri" w:cstheme="minorHAnsi"/>
        </w:rPr>
        <w:t xml:space="preserve">dla powiatu (53%), </w:t>
      </w:r>
    </w:p>
    <w:p>
      <w:pPr>
        <w:pStyle w:val="NoSpacing"/>
        <w:numPr>
          <w:ilvl w:val="0"/>
          <w:numId w:val="15"/>
        </w:numPr>
        <w:jc w:val="both"/>
        <w:rPr>
          <w:rFonts w:ascii="Calibri" w:hAnsi="Calibri" w:cs="Calibri" w:asciiTheme="minorHAnsi" w:cstheme="minorHAnsi" w:hAnsiTheme="minorHAnsi"/>
        </w:rPr>
      </w:pPr>
      <w:r>
        <w:rPr>
          <w:rFonts w:cs="Calibri" w:cstheme="minorHAnsi"/>
        </w:rPr>
        <w:t>dla województwa (57%).</w:t>
      </w:r>
    </w:p>
    <w:p>
      <w:pPr>
        <w:pStyle w:val="NoSpacing"/>
        <w:jc w:val="both"/>
        <w:rPr>
          <w:rFonts w:ascii="Calibri" w:hAnsi="Calibri" w:cs="Calibri" w:asciiTheme="minorHAnsi" w:cstheme="minorHAnsi" w:hAnsiTheme="minorHAnsi"/>
        </w:rPr>
      </w:pPr>
      <w:r>
        <w:rPr>
          <w:rFonts w:cs="Calibri" w:cstheme="minorHAnsi"/>
        </w:rPr>
        <w:t>3 na 8 szkół w gminie uzyskały wynik lepszy od średniej krajowej,</w:t>
      </w:r>
    </w:p>
    <w:p>
      <w:pPr>
        <w:pStyle w:val="NoSpacing"/>
        <w:jc w:val="both"/>
        <w:rPr>
          <w:rFonts w:ascii="Calibri" w:hAnsi="Calibri" w:cs="Calibri" w:asciiTheme="minorHAnsi" w:cstheme="minorHAnsi" w:hAnsiTheme="minorHAnsi"/>
        </w:rPr>
      </w:pPr>
      <w:r>
        <w:rPr>
          <w:rFonts w:cs="Calibri" w:cstheme="minorHAnsi"/>
        </w:rPr>
        <w:t>3 na 8 szkół w gminie uzyskały wynik lepszy od średniej wojewódzkiej,</w:t>
      </w:r>
    </w:p>
    <w:p>
      <w:pPr>
        <w:pStyle w:val="NoSpacing"/>
        <w:jc w:val="both"/>
        <w:rPr>
          <w:rFonts w:ascii="Calibri" w:hAnsi="Calibri" w:cs="Calibri" w:asciiTheme="minorHAnsi" w:cstheme="minorHAnsi" w:hAnsiTheme="minorHAnsi"/>
        </w:rPr>
      </w:pPr>
      <w:r>
        <w:rPr>
          <w:rFonts w:cs="Calibri" w:cstheme="minorHAnsi"/>
        </w:rPr>
        <w:t>4 na 8 szkół w gminie uzyskało wynik lepszy od średniej powiatowej,</w:t>
      </w:r>
    </w:p>
    <w:p>
      <w:pPr>
        <w:pStyle w:val="NoSpacing"/>
        <w:jc w:val="both"/>
        <w:rPr>
          <w:rFonts w:ascii="Calibri" w:hAnsi="Calibri" w:cs="Calibri" w:asciiTheme="minorHAnsi" w:cstheme="minorHAnsi" w:hAnsiTheme="minorHAnsi"/>
        </w:rPr>
      </w:pPr>
      <w:r>
        <w:rPr>
          <w:rFonts w:cs="Calibri" w:cstheme="minorHAnsi"/>
        </w:rPr>
        <w:t>4 na 8 szkół w gminie uzyskało wynik lepszy od średniej dla gminy.</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J. polski – średnie wyniki:</w:t>
      </w:r>
    </w:p>
    <w:p>
      <w:pPr>
        <w:pStyle w:val="NoSpacing"/>
        <w:numPr>
          <w:ilvl w:val="0"/>
          <w:numId w:val="15"/>
        </w:numPr>
        <w:jc w:val="both"/>
        <w:rPr>
          <w:rFonts w:ascii="Calibri" w:hAnsi="Calibri" w:cs="Calibri" w:asciiTheme="minorHAnsi" w:cstheme="minorHAnsi" w:hAnsiTheme="minorHAnsi"/>
        </w:rPr>
      </w:pPr>
      <w:r>
        <w:rPr>
          <w:rFonts w:cs="Calibri" w:cstheme="minorHAnsi"/>
        </w:rPr>
        <w:t>kraju (60%),</w:t>
      </w:r>
    </w:p>
    <w:p>
      <w:pPr>
        <w:pStyle w:val="NoSpacing"/>
        <w:numPr>
          <w:ilvl w:val="0"/>
          <w:numId w:val="15"/>
        </w:numPr>
        <w:jc w:val="both"/>
        <w:rPr>
          <w:rFonts w:ascii="Calibri" w:hAnsi="Calibri" w:cs="Calibri" w:asciiTheme="minorHAnsi" w:cstheme="minorHAnsi" w:hAnsiTheme="minorHAnsi"/>
        </w:rPr>
      </w:pPr>
      <w:r>
        <w:rPr>
          <w:rFonts w:cs="Calibri" w:cstheme="minorHAnsi"/>
        </w:rPr>
        <w:t xml:space="preserve">dla powiatu (55%), </w:t>
      </w:r>
    </w:p>
    <w:p>
      <w:pPr>
        <w:pStyle w:val="NoSpacing"/>
        <w:numPr>
          <w:ilvl w:val="0"/>
          <w:numId w:val="15"/>
        </w:numPr>
        <w:jc w:val="both"/>
        <w:rPr>
          <w:rFonts w:ascii="Calibri" w:hAnsi="Calibri" w:cs="Calibri" w:asciiTheme="minorHAnsi" w:cstheme="minorHAnsi" w:hAnsiTheme="minorHAnsi"/>
        </w:rPr>
      </w:pPr>
      <w:r>
        <w:rPr>
          <w:rFonts w:cs="Calibri" w:cstheme="minorHAnsi"/>
        </w:rPr>
        <w:t>dla województwa (59%).</w:t>
      </w:r>
    </w:p>
    <w:p>
      <w:pPr>
        <w:pStyle w:val="NoSpacing"/>
        <w:jc w:val="both"/>
        <w:rPr>
          <w:rFonts w:ascii="Calibri" w:hAnsi="Calibri" w:cs="Calibri" w:asciiTheme="minorHAnsi" w:cstheme="minorHAnsi" w:hAnsiTheme="minorHAnsi"/>
        </w:rPr>
      </w:pPr>
      <w:r>
        <w:rPr>
          <w:rFonts w:cs="Calibri" w:cstheme="minorHAnsi"/>
        </w:rPr>
        <w:t>2 na 8 szkół w gminie uzyskały wynik lepszy od średniej krajowej,</w:t>
      </w:r>
    </w:p>
    <w:p>
      <w:pPr>
        <w:pStyle w:val="NoSpacing"/>
        <w:jc w:val="both"/>
        <w:rPr>
          <w:rFonts w:ascii="Calibri" w:hAnsi="Calibri" w:cs="Calibri" w:asciiTheme="minorHAnsi" w:cstheme="minorHAnsi" w:hAnsiTheme="minorHAnsi"/>
        </w:rPr>
      </w:pPr>
      <w:r>
        <w:rPr>
          <w:rFonts w:cs="Calibri" w:cstheme="minorHAnsi"/>
        </w:rPr>
        <w:t>2 na 8 szkół w gminie uzyskały wynik lepszy od średniej wojewódzkiej,</w:t>
      </w:r>
    </w:p>
    <w:p>
      <w:pPr>
        <w:pStyle w:val="NoSpacing"/>
        <w:jc w:val="both"/>
        <w:rPr>
          <w:rFonts w:ascii="Calibri" w:hAnsi="Calibri" w:cs="Calibri" w:asciiTheme="minorHAnsi" w:cstheme="minorHAnsi" w:hAnsiTheme="minorHAnsi"/>
        </w:rPr>
      </w:pPr>
      <w:r>
        <w:rPr>
          <w:rFonts w:cs="Calibri" w:cstheme="minorHAnsi"/>
        </w:rPr>
        <w:t>6 na 8 szkół w gminie uzyskało wynik lepszy od średniej powiatowej,</w:t>
      </w:r>
    </w:p>
    <w:p>
      <w:pPr>
        <w:pStyle w:val="NoSpacing"/>
        <w:jc w:val="both"/>
        <w:rPr>
          <w:rFonts w:ascii="Calibri" w:hAnsi="Calibri" w:cs="Calibri" w:asciiTheme="minorHAnsi" w:cstheme="minorHAnsi" w:hAnsiTheme="minorHAnsi"/>
        </w:rPr>
      </w:pPr>
      <w:r>
        <w:rPr>
          <w:rFonts w:cs="Calibri" w:cstheme="minorHAnsi"/>
        </w:rPr>
        <w:t>2 na 8 szkół w gminie uzyskało wynik lepszy od średniej dla gminy.</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 xml:space="preserve">Wysoki poziom wykształcenia nauczycieli, duża liczba zatrudnionych nauczycieli na najwyższych szczeblach awansu zawodowego oraz średnia liczba uczniów w klasach skutkuje większymi oczekiwaniami odnośnie uzyskiwanych efektów nauczania. Analiza umiejętności uczniów wskazuje, </w:t>
        <w:br/>
        <w:t xml:space="preserve">iż największe braki występują w zakresie korzystania z informacji oraz wykorzystania wiedzy </w:t>
        <w:br/>
        <w:t xml:space="preserve">w praktyce, a analiza wyników sprawdzianu wskazuje na potrzebę większego zaangażowania kadry pedagogicznej w wyrównywaniu efektów kształcenia na wszystkich poziomach edukacji, a nie tylko </w:t>
        <w:br/>
        <w:t>w ramach jednego poziomu. Należałoby również wprowadzić więcej innowacji pedagogicznych, które uatrakcyjniły by proces nauczania.</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r>
        <w:rPr>
          <w:rFonts w:cs="Calibri" w:cstheme="minorHAnsi"/>
        </w:rPr>
        <w:t xml:space="preserve">W związku z pandemią COVID-19 i zajęciami zdalnymi ujawniły się problemy związane z alienacją uczniów, wzorem epizodów depresyjnych co jest spowodowane ograniczeniem kontaktów społecznych w ramach lock-downów. </w:t>
      </w:r>
      <w:bookmarkStart w:id="224" w:name="_Hlk86383290"/>
    </w:p>
    <w:p>
      <w:pPr>
        <w:pStyle w:val="NoSpacing"/>
        <w:jc w:val="both"/>
        <w:rPr>
          <w:rFonts w:ascii="Calibri" w:hAnsi="Calibri" w:cs="Calibri" w:asciiTheme="minorHAnsi" w:cstheme="minorHAnsi" w:hAnsiTheme="minorHAnsi"/>
          <w:color w:val="FF0000"/>
        </w:rPr>
      </w:pPr>
      <w:r>
        <w:rPr>
          <w:rFonts w:cs="Calibri" w:cstheme="minorHAnsi"/>
          <w:color w:val="FF0000"/>
        </w:rPr>
      </w:r>
    </w:p>
    <w:p>
      <w:pPr>
        <w:pStyle w:val="NoSpacing"/>
        <w:rPr>
          <w:rFonts w:ascii="Calibri" w:hAnsi="Calibri" w:eastAsia="Times New Roman" w:cs="Calibri" w:asciiTheme="minorHAnsi" w:cstheme="minorHAnsi" w:hAnsiTheme="minorHAnsi"/>
          <w:b/>
          <w:b/>
          <w:color w:val="000000" w:themeColor="text1"/>
          <w:lang w:eastAsia="pl-PL"/>
        </w:rPr>
      </w:pPr>
      <w:r>
        <w:rPr>
          <w:rFonts w:cs="Calibri" w:cstheme="minorHAnsi"/>
          <w:b/>
          <w:bCs/>
          <w:color w:val="000000" w:themeColor="text1"/>
        </w:rPr>
        <w:t>Zdiagnozowane potrzeby Gminy Dwikozy w zakresie przedsięwzięć</w:t>
      </w:r>
      <w:r>
        <w:rPr>
          <w:rFonts w:eastAsia="Times New Roman" w:cs="Calibri" w:cstheme="minorHAnsi"/>
          <w:b/>
          <w:bCs/>
          <w:color w:val="000000" w:themeColor="text1"/>
          <w:lang w:eastAsia="pl-PL"/>
        </w:rPr>
        <w:t xml:space="preserve"> edukacyjnych: </w:t>
      </w:r>
    </w:p>
    <w:p>
      <w:pPr>
        <w:pStyle w:val="Normal"/>
        <w:spacing w:lineRule="auto" w:line="240" w:before="0" w:after="0"/>
        <w:jc w:val="both"/>
        <w:rPr>
          <w:rFonts w:ascii="Calibri" w:hAnsi="Calibri" w:eastAsia="Calibri" w:cs="Calibri"/>
          <w:color w:val="000000"/>
        </w:rPr>
      </w:pPr>
      <w:bookmarkStart w:id="225" w:name="_Toc69212087"/>
      <w:bookmarkEnd w:id="224"/>
      <w:r>
        <w:rPr>
          <w:rFonts w:eastAsia="Times New Roman" w:cs="Calibri"/>
          <w:color w:val="000000"/>
          <w:lang w:eastAsia="pl-PL"/>
        </w:rPr>
        <w:t>1. Remonty (w tym ew. przebudowa/rozbudowa) i doposażenie szkół w pomoce dydaktyczne m.in. sprzęt i wyposażenie TIK.</w:t>
      </w:r>
    </w:p>
    <w:p>
      <w:pPr>
        <w:pStyle w:val="Normal"/>
        <w:spacing w:lineRule="auto" w:line="240" w:before="0" w:after="0"/>
        <w:jc w:val="both"/>
        <w:rPr>
          <w:rFonts w:ascii="Calibri" w:hAnsi="Calibri" w:eastAsia="Calibri" w:cs="Calibri"/>
        </w:rPr>
      </w:pPr>
      <w:r>
        <w:rPr>
          <w:rFonts w:eastAsia="Times New Roman" w:cs="Calibri"/>
          <w:color w:val="000000"/>
          <w:lang w:eastAsia="pl-PL"/>
        </w:rPr>
        <w:t>2. Rozwój edukacji przedszkolnej w zakresie realizacji dodatkowych zajęć w przedszkolach i punktach przedszkolnych, wydłużenie godzin pracy oraz m</w:t>
      </w:r>
      <w:r>
        <w:rPr>
          <w:rFonts w:eastAsia="Calibri" w:cs="Calibri"/>
        </w:rPr>
        <w:t>odernizacji i doposażenia obiektów przedszkolnych.</w:t>
      </w:r>
    </w:p>
    <w:p>
      <w:pPr>
        <w:pStyle w:val="Normal"/>
        <w:spacing w:lineRule="auto" w:line="240" w:before="0" w:after="0"/>
        <w:jc w:val="both"/>
        <w:rPr>
          <w:rFonts w:ascii="Calibri" w:hAnsi="Calibri" w:eastAsia="Times New Roman" w:cs="Calibri"/>
          <w:color w:val="000000"/>
          <w:lang w:eastAsia="pl-PL"/>
        </w:rPr>
      </w:pPr>
      <w:r>
        <w:rPr>
          <w:rFonts w:eastAsia="Times New Roman" w:cs="Calibri"/>
          <w:color w:val="000000"/>
          <w:lang w:eastAsia="pl-PL"/>
        </w:rPr>
        <w:t>3. Modernizacja i doposażenie szkolnych kuchni w szkołach podstawowych.</w:t>
      </w:r>
    </w:p>
    <w:p>
      <w:pPr>
        <w:pStyle w:val="Normal"/>
        <w:spacing w:lineRule="auto" w:line="240" w:before="0" w:after="0"/>
        <w:contextualSpacing/>
        <w:jc w:val="both"/>
        <w:rPr>
          <w:rFonts w:ascii="Calibri" w:hAnsi="Calibri" w:eastAsia="Calibri" w:cs="Times New Roman"/>
        </w:rPr>
      </w:pPr>
      <w:r>
        <w:rPr>
          <w:rFonts w:eastAsia="Times New Roman" w:cs="Calibri"/>
          <w:color w:val="000000"/>
          <w:lang w:eastAsia="pl-PL"/>
        </w:rPr>
        <w:t>4. Zwiększenie ilości miejsc żłobkowych poprzez budowę nowego obiektu lub adaptację już istniejącego na żłobek wraz z jego doposażeniem, wprowadzeniem zajęć dodatkowych  oraz wydłużeniem godzin pracy.</w:t>
      </w:r>
    </w:p>
    <w:p>
      <w:pPr>
        <w:pStyle w:val="Normal"/>
        <w:spacing w:lineRule="auto" w:line="240" w:before="0" w:after="0"/>
        <w:contextualSpacing/>
        <w:jc w:val="both"/>
        <w:rPr>
          <w:rFonts w:ascii="Calibri" w:hAnsi="Calibri" w:eastAsia="Calibri" w:cs="Times New Roman"/>
        </w:rPr>
      </w:pPr>
      <w:r>
        <w:rPr>
          <w:rFonts w:eastAsia="Times New Roman" w:cs="Calibri"/>
          <w:color w:val="000000"/>
          <w:lang w:eastAsia="pl-PL"/>
        </w:rPr>
        <w:t>5. Podniesienie jakości edukacji przedszkolnej m.in.:</w:t>
      </w:r>
    </w:p>
    <w:p>
      <w:pPr>
        <w:pStyle w:val="Normal"/>
        <w:numPr>
          <w:ilvl w:val="0"/>
          <w:numId w:val="74"/>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wydłużenie godzin pracy, </w:t>
      </w:r>
    </w:p>
    <w:p>
      <w:pPr>
        <w:pStyle w:val="Normal"/>
        <w:numPr>
          <w:ilvl w:val="0"/>
          <w:numId w:val="74"/>
        </w:numPr>
        <w:spacing w:lineRule="auto" w:line="240" w:before="0" w:after="0"/>
        <w:contextualSpacing/>
        <w:jc w:val="both"/>
        <w:rPr>
          <w:rFonts w:ascii="Calibri" w:hAnsi="Calibri" w:eastAsia="Times New Roman" w:cs="Calibri"/>
          <w:color w:val="000000"/>
          <w:lang w:eastAsia="pl-PL"/>
        </w:rPr>
      </w:pPr>
      <w:r>
        <w:rPr>
          <w:rFonts w:eastAsia="Calibri" w:cs="Times New Roman"/>
        </w:rPr>
        <w:t xml:space="preserve">tworzenie nowych miejsc przedszkolnych, </w:t>
      </w:r>
    </w:p>
    <w:p>
      <w:pPr>
        <w:pStyle w:val="Normal"/>
        <w:numPr>
          <w:ilvl w:val="0"/>
          <w:numId w:val="74"/>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organizacja zajęć dodatkowych (rytmika, język angielski, logopedia),</w:t>
      </w:r>
    </w:p>
    <w:p>
      <w:pPr>
        <w:pStyle w:val="Normal"/>
        <w:numPr>
          <w:ilvl w:val="0"/>
          <w:numId w:val="74"/>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doposażenie placówek edukacji przedszkolnej, </w:t>
      </w:r>
    </w:p>
    <w:p>
      <w:pPr>
        <w:pStyle w:val="Normal"/>
        <w:numPr>
          <w:ilvl w:val="0"/>
          <w:numId w:val="74"/>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w</w:t>
      </w:r>
      <w:r>
        <w:rPr>
          <w:rFonts w:eastAsia="Calibri" w:cs="Times New Roman"/>
        </w:rPr>
        <w:t xml:space="preserve">sparcie dzieci ze specjalnymi potrzebami rozwojowymi i edukacyjnymi, w tym </w:t>
        <w:br/>
        <w:t>z niepełnosprawnościami,</w:t>
      </w:r>
    </w:p>
    <w:p>
      <w:pPr>
        <w:pStyle w:val="Normal"/>
        <w:numPr>
          <w:ilvl w:val="0"/>
          <w:numId w:val="74"/>
        </w:numPr>
        <w:spacing w:lineRule="auto" w:line="240" w:before="0" w:after="0"/>
        <w:contextualSpacing/>
        <w:jc w:val="both"/>
        <w:rPr>
          <w:rFonts w:ascii="Calibri" w:hAnsi="Calibri" w:eastAsia="Times New Roman" w:cs="Calibri"/>
          <w:color w:val="000000"/>
          <w:lang w:eastAsia="pl-PL"/>
        </w:rPr>
      </w:pPr>
      <w:r>
        <w:rPr>
          <w:rFonts w:eastAsia="Calibri" w:cs="Times New Roman"/>
        </w:rPr>
        <w:t>podnoszenie kwalifikacji nauczycieli przedszkolnych</w:t>
      </w:r>
      <w:r>
        <w:rPr>
          <w:rFonts w:eastAsia="Times New Roman" w:cs="Calibri"/>
          <w:color w:val="000000"/>
          <w:lang w:eastAsia="pl-PL"/>
        </w:rPr>
        <w:t>,</w:t>
      </w:r>
    </w:p>
    <w:p>
      <w:pPr>
        <w:pStyle w:val="Normal"/>
        <w:spacing w:lineRule="auto" w:line="240" w:before="0" w:after="0"/>
        <w:contextualSpacing/>
        <w:jc w:val="both"/>
        <w:rPr>
          <w:rFonts w:ascii="Calibri" w:hAnsi="Calibri" w:eastAsia="Calibri" w:cs="Times New Roman"/>
        </w:rPr>
      </w:pPr>
      <w:r>
        <w:rPr>
          <w:rFonts w:eastAsia="Times New Roman" w:cs="Calibri"/>
          <w:color w:val="000000"/>
          <w:lang w:eastAsia="pl-PL"/>
        </w:rPr>
        <w:t>6. Organizacja zajęć dodatkowych (pozalekcyjnych) w szkołach obejmujących m.in.:</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przygotowanie do egzaminów ósmoklasisty,</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organizację zajęć podnoszących kompetencje kluczowe w szczególności w zakresie języka obcego oraz cyfrowe (zajęcia z wykorzystaniem TIK),</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wsparcie uczniów ze specjalnymi potrzebami rozwojowymi i edukacyjnymi, </w:t>
      </w:r>
      <w:r>
        <w:rPr>
          <w:rFonts w:eastAsia="Calibri" w:cs="Times New Roman"/>
        </w:rPr>
        <w:t>w tym dla uczniów z niepełnosprawnościami, orzeczeniami z poradni psychologiczno-pedagogicznych,</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wsparcie w obszarze edukacji włączającej,</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doposażenie placówek szkolnych w nowoczesny sprzęt i pomoce edukacyjne, </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Calibri" w:cs="Times New Roman"/>
        </w:rPr>
        <w:t>organizację dodatkowych zajęć dla uczniów, w tym zajęć wyrównawczych, rozwijających pasje i zainteresowania,</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Calibri" w:cs="Times New Roman"/>
        </w:rPr>
        <w:t>rozwój kompetencji miękkich i interpersonalnych przez uczniów i nauczycieli,</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Calibri" w:cs="Times New Roman"/>
        </w:rPr>
        <w:t>organizację zajęć twórczych dla dzieci,</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Calibri" w:cs="Times New Roman"/>
        </w:rPr>
        <w:t>pomoc w uzupełnianiu zaległości w nauce,</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Calibri" w:cs="Times New Roman"/>
        </w:rPr>
        <w:t>organizację</w:t>
      </w:r>
      <w:r>
        <w:rPr>
          <w:rFonts w:eastAsia="Calibri" w:cs="Calibri"/>
        </w:rPr>
        <w:t xml:space="preserve"> zajęć szachowych w szkołach,</w:t>
      </w:r>
    </w:p>
    <w:p>
      <w:pPr>
        <w:pStyle w:val="Normal"/>
        <w:numPr>
          <w:ilvl w:val="0"/>
          <w:numId w:val="73"/>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doradztwo zawodowe.</w:t>
      </w:r>
    </w:p>
    <w:p>
      <w:pPr>
        <w:pStyle w:val="Normal"/>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7. Podnoszenie kwalifikacji nauczycieli m.in. poprzez organizację szkoleń wzmacniających </w:t>
        <w:br/>
        <w:t xml:space="preserve">i uzupełniających kompetencje nauczycieli w zakresie rozumienia i organizacji procesu uczenia się </w:t>
        <w:br/>
        <w:t>i kształtowania wśród uczniów kompetencji kluczowych.</w:t>
      </w:r>
    </w:p>
    <w:p>
      <w:pPr>
        <w:pStyle w:val="Normal"/>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9. Działania szkoleniowo-doradcze dla dyrektorów i nauczycieli w zakresie zarządzania zmianą (pomoc w przeprowadzeniu diagnozy i opracowania planu działań dla zespołu nauczycielskiego).</w:t>
      </w:r>
    </w:p>
    <w:p>
      <w:pPr>
        <w:pStyle w:val="Normal"/>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10. Zakup niezbędnego wyposażenia informatycznego (komputery, laptopy, tablety, serwerownie, modernizacja sieci informatycznych, oprogramowanie, tablice interaktywne, itp.).</w:t>
      </w:r>
    </w:p>
    <w:p>
      <w:pPr>
        <w:pStyle w:val="Normal"/>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11. Działania przeciwdziałające skutkom COVID-19 wśród uczniów z uwagi na alienację </w:t>
        <w:br/>
        <w:t xml:space="preserve">i ograniczenie kontaktów społecznych w trakcie nauki zdalnej: </w:t>
      </w:r>
    </w:p>
    <w:p>
      <w:pPr>
        <w:pStyle w:val="Normal"/>
        <w:numPr>
          <w:ilvl w:val="0"/>
          <w:numId w:val="75"/>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wzmocnienie roli szkoły w profilaktyce problemów psychologicznych dzieci i młodzieży,</w:t>
      </w:r>
    </w:p>
    <w:p>
      <w:pPr>
        <w:pStyle w:val="Normal"/>
        <w:numPr>
          <w:ilvl w:val="0"/>
          <w:numId w:val="75"/>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zatrudnienie psychologów dziecięcych, </w:t>
      </w:r>
    </w:p>
    <w:p>
      <w:pPr>
        <w:pStyle w:val="Normal"/>
        <w:numPr>
          <w:ilvl w:val="0"/>
          <w:numId w:val="75"/>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prowadzenie terapii oraz zajęć grupowych i indywidualnych dla uczniów, </w:t>
      </w:r>
    </w:p>
    <w:p>
      <w:pPr>
        <w:pStyle w:val="Normal"/>
        <w:numPr>
          <w:ilvl w:val="0"/>
          <w:numId w:val="75"/>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 xml:space="preserve">warsztaty i doradztwo dla rodziców, </w:t>
      </w:r>
    </w:p>
    <w:p>
      <w:pPr>
        <w:pStyle w:val="Normal"/>
        <w:numPr>
          <w:ilvl w:val="0"/>
          <w:numId w:val="75"/>
        </w:numPr>
        <w:spacing w:lineRule="auto" w:line="240" w:before="0" w:after="0"/>
        <w:contextualSpacing/>
        <w:jc w:val="both"/>
        <w:rPr>
          <w:rFonts w:ascii="Calibri" w:hAnsi="Calibri" w:eastAsia="Times New Roman" w:cs="Calibri"/>
          <w:color w:val="000000"/>
          <w:lang w:eastAsia="pl-PL"/>
        </w:rPr>
      </w:pPr>
      <w:r>
        <w:rPr>
          <w:rFonts w:eastAsia="Times New Roman" w:cs="Calibri"/>
          <w:color w:val="000000"/>
          <w:lang w:eastAsia="pl-PL"/>
        </w:rPr>
        <w:t>szkolenia dla pedagogów i psychologów szkolnych,</w:t>
      </w:r>
    </w:p>
    <w:p>
      <w:pPr>
        <w:pStyle w:val="Normal"/>
        <w:numPr>
          <w:ilvl w:val="0"/>
          <w:numId w:val="72"/>
        </w:numPr>
        <w:spacing w:lineRule="auto" w:line="240" w:before="0" w:after="0"/>
        <w:contextualSpacing/>
        <w:rPr>
          <w:rFonts w:ascii="Calibri" w:hAnsi="Calibri" w:eastAsia="Calibri" w:cs="Times New Roman"/>
          <w:b/>
          <w:b/>
          <w:bCs/>
        </w:rPr>
      </w:pPr>
      <w:r>
        <w:rPr>
          <w:rFonts w:eastAsia="Times New Roman" w:cs="Calibri"/>
          <w:color w:val="000000"/>
          <w:lang w:eastAsia="pl-PL"/>
        </w:rPr>
        <w:t>organizacja zajęć sportowo-rekreacyjnych dla różnych grup wiekowych.</w:t>
      </w:r>
    </w:p>
    <w:p>
      <w:pPr>
        <w:pStyle w:val="Normal"/>
        <w:spacing w:lineRule="auto" w:line="240" w:before="0" w:after="0"/>
        <w:jc w:val="both"/>
        <w:rPr>
          <w:rFonts w:ascii="Calibri" w:hAnsi="Calibri" w:eastAsia="Calibri" w:cs="Times New Roman"/>
        </w:rPr>
      </w:pPr>
      <w:r>
        <w:rPr>
          <w:rFonts w:eastAsia="Calibri" w:cs="Times New Roman"/>
        </w:rPr>
        <w:t xml:space="preserve">12. Programy wczesnego wykrywania i rehabilitacji wad postawy wśród dzieci w wieku szkolnym </w:t>
        <w:br/>
        <w:t>i przedszkolnym.</w:t>
      </w:r>
    </w:p>
    <w:p>
      <w:pPr>
        <w:pStyle w:val="Normal"/>
        <w:spacing w:lineRule="auto" w:line="240" w:before="0" w:after="0"/>
        <w:rPr>
          <w:rFonts w:ascii="Calibri" w:hAnsi="Calibri" w:eastAsia="Calibri" w:cs="Times New Roman"/>
        </w:rPr>
      </w:pPr>
      <w:r>
        <w:rPr>
          <w:rFonts w:eastAsia="Calibri" w:cs="Times New Roman"/>
        </w:rPr>
        <w:t>13. Programy zdrowotne w zakresie zwalczania nadwagi i otyłości.</w:t>
      </w:r>
    </w:p>
    <w:p>
      <w:pPr>
        <w:pStyle w:val="Normal"/>
        <w:rPr>
          <w:rFonts w:ascii="Calibri" w:hAnsi="Calibri" w:eastAsia="Calibri" w:cs="Times New Roman"/>
        </w:rPr>
      </w:pPr>
      <w:r>
        <w:rPr>
          <w:rFonts w:eastAsia="Calibri" w:cs="Times New Roman"/>
        </w:rPr>
      </w:r>
      <w:r>
        <w:br w:type="page"/>
      </w:r>
    </w:p>
    <w:p>
      <w:pPr>
        <w:pStyle w:val="Nagwek2"/>
        <w:numPr>
          <w:ilvl w:val="1"/>
          <w:numId w:val="1"/>
        </w:numPr>
        <w:spacing w:lineRule="auto" w:line="240" w:before="0" w:after="120"/>
        <w:ind w:left="432" w:hanging="432"/>
        <w:rPr>
          <w:rFonts w:ascii="Calibri" w:hAnsi="Calibri" w:cs="Calibri" w:asciiTheme="minorHAnsi" w:cstheme="minorHAnsi" w:hAnsiTheme="minorHAnsi"/>
          <w:i w:val="false"/>
          <w:i w:val="false"/>
          <w:iCs w:val="false"/>
          <w:sz w:val="32"/>
          <w:szCs w:val="32"/>
        </w:rPr>
      </w:pPr>
      <w:bookmarkStart w:id="226" w:name="_Toc69212087"/>
      <w:bookmarkStart w:id="227" w:name="_Toc118887469"/>
      <w:r>
        <w:rPr>
          <w:rFonts w:cs="Calibri" w:ascii="Calibri" w:hAnsi="Calibri" w:asciiTheme="minorHAnsi" w:cstheme="minorHAnsi" w:hAnsiTheme="minorHAnsi"/>
          <w:i w:val="false"/>
          <w:iCs w:val="false"/>
        </w:rPr>
        <w:t>Bezpieczeństwo publiczne</w:t>
      </w:r>
      <w:bookmarkStart w:id="228" w:name="_Hlk66341899"/>
      <w:bookmarkEnd w:id="226"/>
      <w:bookmarkEnd w:id="227"/>
    </w:p>
    <w:p>
      <w:pPr>
        <w:pStyle w:val="NoSpacing"/>
        <w:jc w:val="both"/>
        <w:rPr>
          <w:rFonts w:ascii="Calibri" w:hAnsi="Calibri" w:cs="Calibri" w:asciiTheme="minorHAnsi" w:cstheme="minorHAnsi" w:hAnsiTheme="minorHAnsi"/>
        </w:rPr>
      </w:pPr>
      <w:r>
        <w:rPr>
          <w:rFonts w:cs="Calibri" w:cstheme="minorHAnsi"/>
        </w:rPr>
        <w:t xml:space="preserve">Na terenie Gminy Dwikozy funkcjonuje Komisariat Policji w Dwikozach. Samorząd wspiera działalność Policji m.in. poprzez wydatkowanie środków z budżetu gminy na jego utrzymania na terenie gminy. Policjanci z Komisariatu Policji w Dwikozach kierując się odpowiedzialnością za stan bezpieczeństwa publicznego na terenie gminy - podejmują działania przyczyniające się do zwiększania poczucia bezpieczeństwa, zapobiegania występowania sytuacji kryzysowych i sprawnego likwidowania ich następstw. Wykonywanie działań prowadzone jest przy ścisłej współpracy </w:t>
        <w:br/>
        <w:t xml:space="preserve">z Państwową Strażą Pożarną, samorządem lokalnym i ochotniczymi strażami pożarnymi z terenu gminy. </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eastAsia="Times New Roman" w:cs="Calibri" w:asciiTheme="minorHAnsi" w:cstheme="minorHAnsi" w:hAnsiTheme="minorHAnsi"/>
          <w:highlight w:val="yellow"/>
        </w:rPr>
      </w:pPr>
      <w:r>
        <w:rPr>
          <w:rFonts w:eastAsia="Times New Roman" w:cs="Calibri" w:cstheme="minorHAnsi"/>
          <w:highlight w:val="yellow"/>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rPr>
      </w:pPr>
      <w:bookmarkStart w:id="229" w:name="_Toc118887431"/>
      <w:r>
        <w:rPr>
          <w:rFonts w:cs="Calibri" w:cstheme="minorHAnsi"/>
          <w:b w:val="false"/>
          <w:bCs w:val="false"/>
        </w:rPr>
        <w:t xml:space="preserve">Wykres </w:t>
      </w:r>
      <w:r>
        <w:rPr>
          <w:rFonts w:cs="Calibri" w:cstheme="minorHAnsi"/>
          <w:b w:val="false"/>
          <w:bCs w:val="false"/>
        </w:rPr>
        <w:fldChar w:fldCharType="begin"/>
      </w:r>
      <w:r>
        <w:rPr>
          <w:b w:val="false"/>
          <w:bCs w:val="false"/>
          <w:rFonts w:cs="Calibri"/>
        </w:rPr>
        <w:instrText xml:space="preserve"> SEQ Wykres \* ARABIC </w:instrText>
      </w:r>
      <w:r>
        <w:rPr>
          <w:b w:val="false"/>
          <w:bCs w:val="false"/>
          <w:rFonts w:cs="Calibri"/>
        </w:rPr>
        <w:fldChar w:fldCharType="separate"/>
      </w:r>
      <w:r>
        <w:rPr>
          <w:b w:val="false"/>
          <w:bCs w:val="false"/>
          <w:rFonts w:cs="Calibri"/>
        </w:rPr>
        <w:t>4</w:t>
      </w:r>
      <w:r>
        <w:rPr>
          <w:b w:val="false"/>
          <w:bCs w:val="false"/>
          <w:rFonts w:cs="Calibri"/>
        </w:rPr>
        <w:fldChar w:fldCharType="end"/>
      </w:r>
      <w:r>
        <w:rPr>
          <w:rFonts w:cs="Calibri" w:cstheme="minorHAnsi"/>
        </w:rPr>
        <w:t xml:space="preserve"> </w:t>
      </w:r>
      <w:r>
        <w:rPr>
          <w:rFonts w:cs="Calibri" w:cstheme="minorHAnsi"/>
          <w:b w:val="false"/>
          <w:bCs w:val="false"/>
        </w:rPr>
        <w:t>Przestępstwa stwierdzone (oszacowane) w Gminie Dwikozy w latach 2012-2020</w:t>
      </w:r>
      <w:bookmarkEnd w:id="229"/>
    </w:p>
    <w:p>
      <w:pPr>
        <w:pStyle w:val="NoSpacing"/>
        <w:jc w:val="both"/>
        <w:rPr>
          <w:rFonts w:ascii="Calibri" w:hAnsi="Calibri" w:eastAsia="Times New Roman" w:cs="Calibri" w:asciiTheme="minorHAnsi" w:cstheme="minorHAnsi" w:hAnsiTheme="minorHAnsi"/>
        </w:rPr>
      </w:pPr>
      <w:r>
        <w:rPr/>
        <w:drawing>
          <wp:inline distT="0" distB="0" distL="0" distR="0">
            <wp:extent cx="5731510" cy="2900045"/>
            <wp:effectExtent l="0" t="0" r="0" b="0"/>
            <wp:docPr id="27" name="Obraz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5" descr=""/>
                    <pic:cNvPicPr>
                      <a:picLocks noChangeAspect="1" noChangeArrowheads="1"/>
                    </pic:cNvPicPr>
                  </pic:nvPicPr>
                  <pic:blipFill>
                    <a:blip r:embed="rId38"/>
                    <a:srcRect l="0" t="18833" r="0" b="5255"/>
                    <a:stretch>
                      <a:fillRect/>
                    </a:stretch>
                  </pic:blipFill>
                  <pic:spPr bwMode="auto">
                    <a:xfrm>
                      <a:off x="0" y="0"/>
                      <a:ext cx="5731510" cy="2900045"/>
                    </a:xfrm>
                    <a:prstGeom prst="rect">
                      <a:avLst/>
                    </a:prstGeom>
                  </pic:spPr>
                </pic:pic>
              </a:graphicData>
            </a:graphic>
          </wp:inline>
        </w:drawing>
      </w:r>
    </w:p>
    <w:p>
      <w:pPr>
        <w:pStyle w:val="NoSpacing"/>
        <w:jc w:val="center"/>
        <w:rPr>
          <w:rFonts w:ascii="Calibri" w:hAnsi="Calibri" w:cs="Calibri" w:asciiTheme="minorHAnsi" w:cstheme="minorHAnsi" w:hAnsiTheme="minorHAnsi"/>
        </w:rPr>
      </w:pPr>
      <w:r>
        <w:rPr>
          <w:rFonts w:cs="Calibri" w:cstheme="minorHAnsi"/>
        </w:rPr>
      </w:r>
    </w:p>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https://www.polskawliczbach.pl/gmina_Dwikozy</w:t>
      </w:r>
    </w:p>
    <w:p>
      <w:pPr>
        <w:pStyle w:val="NoSpacing"/>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eastAsia="Times New Roman" w:cs="Calibri" w:asciiTheme="minorHAnsi" w:cstheme="minorHAnsi" w:hAnsiTheme="minorHAnsi"/>
        </w:rPr>
      </w:pPr>
      <w:r>
        <w:rPr>
          <w:rFonts w:eastAsia="Times New Roman" w:cs="Calibri" w:cstheme="minorHAnsi"/>
        </w:rPr>
        <w:t xml:space="preserve">W 2020 roku w gminie Dwikozy stwierdzono szacunkowo (w oparciu o dane powiatowe) </w:t>
        <w:br/>
        <w:t>99 przestępstw i oznacza to, że na każdych 1000 mieszkańców odnotowano 11,34 przestępstw i jest to wartość znacznie mniejsza od wartości dla województwa świętokrzyskiego oraz średniej dla całej Polski. Wskaźnik wykrywalności sprawców przestępstw dla wszystkich przestępstw ogółem w gminie wynosi 82,00% i jest porównywalny do wskaźnika wykrywalności dla województwa świętokrzyskiego oraz znacznie większy od wskaźnika dla całego kraju. W przeliczeniu na 1000 mieszkańców gminy Dwikozy najwięcej stwierdzono przestępstw o charakterze kryminalnym - 7,18 (wykrywalność 79%) oraz przeciwko mieniu - 4,25 (wykrywalność 63%). W dalszej kolejności odnotowano przestępstwa przeciwko życiu i zdrowiu - 0,40 (96%), drogowe - 1,34 (99%) oraz o charakterze gospodarczym - 2,32 (77%).</w:t>
      </w:r>
    </w:p>
    <w:p>
      <w:pPr>
        <w:pStyle w:val="NoSpacing"/>
        <w:rPr>
          <w:rFonts w:ascii="Calibri" w:hAnsi="Calibri" w:cs="Calibri" w:asciiTheme="minorHAnsi" w:cstheme="minorHAnsi" w:hAnsiTheme="minorHAnsi"/>
          <w:highlight w:val="yellow"/>
        </w:rPr>
      </w:pPr>
      <w:r>
        <w:rPr>
          <w:rFonts w:cs="Calibri" w:cstheme="minorHAnsi"/>
          <w:highlight w:val="yellow"/>
        </w:rPr>
      </w:r>
    </w:p>
    <w:p>
      <w:pPr>
        <w:pStyle w:val="NoSpacing"/>
        <w:jc w:val="center"/>
        <w:rPr>
          <w:rFonts w:ascii="Calibri" w:hAnsi="Calibri" w:cs="Calibri" w:asciiTheme="minorHAnsi" w:cstheme="minorHAnsi" w:hAnsiTheme="minorHAnsi"/>
          <w:sz w:val="20"/>
          <w:szCs w:val="20"/>
        </w:rPr>
      </w:pPr>
      <w:bookmarkStart w:id="230" w:name="_Toc118887788"/>
      <w:r>
        <w:rPr>
          <w:rFonts w:cs="Calibri" w:cstheme="minorHAnsi"/>
          <w:sz w:val="20"/>
          <w:szCs w:val="20"/>
        </w:rPr>
        <w:t xml:space="preserve">Tabela </w:t>
      </w:r>
      <w:r>
        <w:rPr>
          <w:rFonts w:cs="Calibri" w:cstheme="minorHAnsi"/>
          <w:sz w:val="20"/>
          <w:szCs w:val="20"/>
        </w:rPr>
        <w:fldChar w:fldCharType="begin"/>
      </w:r>
      <w:r>
        <w:rPr>
          <w:sz w:val="20"/>
          <w:szCs w:val="20"/>
          <w:rFonts w:cs="Calibri"/>
        </w:rPr>
        <w:instrText xml:space="preserve"> SEQ Tabela \* ARABIC </w:instrText>
      </w:r>
      <w:r>
        <w:rPr>
          <w:sz w:val="20"/>
          <w:szCs w:val="20"/>
          <w:rFonts w:cs="Calibri"/>
        </w:rPr>
        <w:fldChar w:fldCharType="separate"/>
      </w:r>
      <w:r>
        <w:rPr>
          <w:sz w:val="20"/>
          <w:szCs w:val="20"/>
          <w:rFonts w:cs="Calibri"/>
        </w:rPr>
        <w:t>39</w:t>
      </w:r>
      <w:r>
        <w:rPr>
          <w:sz w:val="20"/>
          <w:szCs w:val="20"/>
          <w:rFonts w:cs="Calibri"/>
        </w:rPr>
        <w:fldChar w:fldCharType="end"/>
      </w:r>
      <w:r>
        <w:rPr>
          <w:rFonts w:cs="Calibri" w:cstheme="minorHAnsi"/>
          <w:sz w:val="20"/>
          <w:szCs w:val="20"/>
        </w:rPr>
        <w:t xml:space="preserve"> Liczba przestępstw i wykroczeń popełnionych na terenie Gminy Dwikozy w latach 2015-2020</w:t>
      </w:r>
      <w:bookmarkEnd w:id="230"/>
    </w:p>
    <w:tbl>
      <w:tblPr>
        <w:tblW w:w="7901" w:type="dxa"/>
        <w:jc w:val="center"/>
        <w:tblInd w:w="0" w:type="dxa"/>
        <w:tblLayout w:type="fixed"/>
        <w:tblCellMar>
          <w:top w:w="15" w:type="dxa"/>
          <w:left w:w="15" w:type="dxa"/>
          <w:bottom w:w="0" w:type="dxa"/>
          <w:right w:w="15" w:type="dxa"/>
        </w:tblCellMar>
        <w:tblLook w:firstRow="1" w:noVBand="1" w:lastRow="0" w:firstColumn="1" w:lastColumn="0" w:noHBand="0" w:val="04a0"/>
      </w:tblPr>
      <w:tblGrid>
        <w:gridCol w:w="2141"/>
        <w:gridCol w:w="960"/>
        <w:gridCol w:w="960"/>
        <w:gridCol w:w="960"/>
        <w:gridCol w:w="960"/>
        <w:gridCol w:w="960"/>
        <w:gridCol w:w="959"/>
      </w:tblGrid>
      <w:tr>
        <w:trPr>
          <w:trHeight w:val="288" w:hRule="atLeast"/>
        </w:trPr>
        <w:tc>
          <w:tcPr>
            <w:tcW w:w="214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lang w:val="en-US"/>
              </w:rPr>
            </w:pPr>
            <w:bookmarkStart w:id="231" w:name="_Hlk118561938"/>
            <w:bookmarkEnd w:id="228"/>
            <w:r>
              <w:rPr>
                <w:rFonts w:cs="Calibri" w:cstheme="minorHAnsi"/>
                <w:b/>
                <w:bCs/>
              </w:rPr>
              <w:t>Ilość przestępstw</w:t>
            </w:r>
          </w:p>
        </w:tc>
        <w:tc>
          <w:tcPr>
            <w:tcW w:w="9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t>2015</w:t>
            </w:r>
          </w:p>
        </w:tc>
        <w:tc>
          <w:tcPr>
            <w:tcW w:w="9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t>2016</w:t>
            </w:r>
          </w:p>
        </w:tc>
        <w:tc>
          <w:tcPr>
            <w:tcW w:w="9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t>2017</w:t>
            </w:r>
          </w:p>
        </w:tc>
        <w:tc>
          <w:tcPr>
            <w:tcW w:w="9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t>2018</w:t>
            </w:r>
          </w:p>
        </w:tc>
        <w:tc>
          <w:tcPr>
            <w:tcW w:w="9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t>2019</w:t>
            </w:r>
          </w:p>
        </w:tc>
        <w:tc>
          <w:tcPr>
            <w:tcW w:w="959"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t>2020</w:t>
            </w:r>
          </w:p>
        </w:tc>
      </w:tr>
      <w:tr>
        <w:trPr>
          <w:trHeight w:val="288" w:hRule="atLeast"/>
        </w:trPr>
        <w:tc>
          <w:tcPr>
            <w:tcW w:w="214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Dwikozy</w:t>
            </w:r>
          </w:p>
        </w:tc>
        <w:tc>
          <w:tcPr>
            <w:tcW w:w="9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cs="Calibri" w:cstheme="minorHAnsi"/>
              </w:rPr>
            </w:pPr>
            <w:r>
              <w:rPr>
                <w:rFonts w:cs="Calibri" w:cstheme="minorHAnsi"/>
              </w:rPr>
              <w:t>111</w:t>
            </w:r>
          </w:p>
        </w:tc>
        <w:tc>
          <w:tcPr>
            <w:tcW w:w="9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cs="Calibri" w:cstheme="minorHAnsi"/>
              </w:rPr>
            </w:pPr>
            <w:r>
              <w:rPr>
                <w:rFonts w:cs="Calibri" w:cstheme="minorHAnsi"/>
              </w:rPr>
              <w:t>111</w:t>
            </w:r>
          </w:p>
        </w:tc>
        <w:tc>
          <w:tcPr>
            <w:tcW w:w="9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cs="Calibri" w:cstheme="minorHAnsi"/>
              </w:rPr>
            </w:pPr>
            <w:r>
              <w:rPr>
                <w:rFonts w:cs="Calibri" w:cstheme="minorHAnsi"/>
              </w:rPr>
              <w:t>103</w:t>
            </w:r>
          </w:p>
        </w:tc>
        <w:tc>
          <w:tcPr>
            <w:tcW w:w="9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cs="Calibri" w:cstheme="minorHAnsi"/>
              </w:rPr>
            </w:pPr>
            <w:r>
              <w:rPr>
                <w:rFonts w:cs="Calibri" w:cstheme="minorHAnsi"/>
              </w:rPr>
              <w:t>106</w:t>
            </w:r>
          </w:p>
        </w:tc>
        <w:tc>
          <w:tcPr>
            <w:tcW w:w="9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cs="Calibri" w:cstheme="minorHAnsi"/>
              </w:rPr>
            </w:pPr>
            <w:r>
              <w:rPr>
                <w:rFonts w:cs="Calibri" w:cstheme="minorHAnsi"/>
              </w:rPr>
              <w:t>118</w:t>
            </w:r>
          </w:p>
        </w:tc>
        <w:tc>
          <w:tcPr>
            <w:tcW w:w="95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cs="Calibri" w:cstheme="minorHAnsi"/>
              </w:rPr>
            </w:pPr>
            <w:bookmarkStart w:id="232" w:name="_Hlk118561938"/>
            <w:r>
              <w:rPr>
                <w:rFonts w:cs="Calibri" w:cstheme="minorHAnsi"/>
              </w:rPr>
              <w:t>99</w:t>
            </w:r>
            <w:bookmarkEnd w:id="232"/>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 xml:space="preserve"> </w:t>
      </w:r>
      <w:r>
        <w:rPr>
          <w:rFonts w:cs="Calibri" w:cstheme="minorHAnsi"/>
          <w:sz w:val="20"/>
          <w:szCs w:val="20"/>
        </w:rPr>
        <w:t>Źródło: opracowanie własne na podstawie danych GUS</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rmal"/>
        <w:suppressAutoHyphens w:val="true"/>
        <w:spacing w:lineRule="auto" w:line="240" w:before="0" w:after="0"/>
        <w:jc w:val="both"/>
        <w:textAlignment w:val="baseline"/>
        <w:rPr>
          <w:rFonts w:eastAsia="Times New Roman" w:cs="Calibri" w:cstheme="minorHAnsi"/>
          <w:b/>
          <w:b/>
          <w:color w:val="000000"/>
          <w:lang w:eastAsia="zh-CN"/>
        </w:rPr>
      </w:pPr>
      <w:r>
        <w:rPr>
          <w:rFonts w:eastAsia="Times New Roman" w:cs="Calibri" w:cstheme="minorHAnsi"/>
          <w:color w:val="000000"/>
          <w:lang w:eastAsia="zh-CN"/>
        </w:rPr>
        <w:t xml:space="preserve">Na terenie gminy funkcjonuje </w:t>
      </w:r>
      <w:r>
        <w:rPr>
          <w:rFonts w:eastAsia="Times New Roman" w:cs="Calibri" w:cstheme="minorHAnsi"/>
          <w:b/>
          <w:color w:val="000000"/>
          <w:lang w:eastAsia="zh-CN"/>
        </w:rPr>
        <w:t xml:space="preserve">11 terenowych jednostek Ochotniczych Straży Pożarnych. </w:t>
      </w:r>
    </w:p>
    <w:p>
      <w:pPr>
        <w:pStyle w:val="Normal"/>
        <w:suppressAutoHyphens w:val="true"/>
        <w:spacing w:lineRule="auto" w:line="240" w:before="0" w:after="0"/>
        <w:jc w:val="both"/>
        <w:textAlignment w:val="baseline"/>
        <w:rPr>
          <w:rFonts w:eastAsia="Times New Roman" w:cs="Calibri" w:cstheme="minorHAnsi"/>
          <w:b/>
          <w:b/>
          <w:color w:val="000000"/>
          <w:lang w:eastAsia="zh-CN"/>
        </w:rPr>
      </w:pPr>
      <w:r>
        <w:rPr>
          <w:rFonts w:eastAsia="Times New Roman" w:cs="Calibri" w:cstheme="minorHAnsi"/>
          <w:b/>
          <w:color w:val="000000"/>
          <w:lang w:eastAsia="zh-CN"/>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color w:val="000000"/>
          <w:lang w:eastAsia="zh-CN"/>
        </w:rPr>
      </w:pPr>
      <w:bookmarkStart w:id="233" w:name="_Toc118887789"/>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40</w:t>
      </w:r>
      <w:r>
        <w:rPr>
          <w:b w:val="false"/>
          <w:bCs w:val="false"/>
          <w:rFonts w:cs="Calibri"/>
        </w:rPr>
        <w:fldChar w:fldCharType="end"/>
      </w:r>
      <w:r>
        <w:rPr>
          <w:rFonts w:cs="Calibri" w:cstheme="minorHAnsi"/>
          <w:b w:val="false"/>
          <w:bCs w:val="false"/>
        </w:rPr>
        <w:t xml:space="preserve"> Wykaz jednostek straży pożarnej działających na terenie gminy Dwikozy</w:t>
      </w:r>
      <w:bookmarkEnd w:id="233"/>
    </w:p>
    <w:tbl>
      <w:tblPr>
        <w:tblW w:w="868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44"/>
        <w:gridCol w:w="3917"/>
        <w:gridCol w:w="1288"/>
        <w:gridCol w:w="2936"/>
      </w:tblGrid>
      <w:tr>
        <w:trPr>
          <w:trHeight w:val="288" w:hRule="atLeast"/>
        </w:trPr>
        <w:tc>
          <w:tcPr>
            <w:tcW w:w="54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L.p.</w:t>
            </w:r>
          </w:p>
        </w:tc>
        <w:tc>
          <w:tcPr>
            <w:tcW w:w="3917"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Nazwa</w:t>
            </w:r>
          </w:p>
        </w:tc>
        <w:tc>
          <w:tcPr>
            <w:tcW w:w="1288" w:type="dxa"/>
            <w:tcBorders>
              <w:top w:val="single" w:sz="4" w:space="0" w:color="000000"/>
              <w:bottom w:val="single" w:sz="4" w:space="0" w:color="000000"/>
              <w:right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Rok założenia</w:t>
            </w:r>
          </w:p>
        </w:tc>
        <w:tc>
          <w:tcPr>
            <w:tcW w:w="2936" w:type="dxa"/>
            <w:tcBorders>
              <w:top w:val="single" w:sz="4" w:space="0" w:color="000000"/>
              <w:bottom w:val="single" w:sz="4" w:space="0" w:color="000000"/>
              <w:right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Posiadane samochody pożarnicze</w:t>
            </w:r>
          </w:p>
        </w:tc>
      </w:tr>
      <w:tr>
        <w:trPr>
          <w:trHeight w:val="359" w:hRule="atLeast"/>
        </w:trPr>
        <w:tc>
          <w:tcPr>
            <w:tcW w:w="54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w:t>
            </w:r>
          </w:p>
        </w:tc>
        <w:tc>
          <w:tcPr>
            <w:tcW w:w="3917"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Gierlachowie</w:t>
            </w:r>
          </w:p>
        </w:tc>
        <w:tc>
          <w:tcPr>
            <w:tcW w:w="1288"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2020</w:t>
            </w:r>
          </w:p>
        </w:tc>
        <w:tc>
          <w:tcPr>
            <w:tcW w:w="2936"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brak</w:t>
            </w:r>
          </w:p>
        </w:tc>
      </w:tr>
      <w:tr>
        <w:trPr>
          <w:trHeight w:val="359" w:hRule="atLeast"/>
        </w:trPr>
        <w:tc>
          <w:tcPr>
            <w:tcW w:w="544" w:type="dxa"/>
            <w:tcBorders>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2</w:t>
            </w:r>
          </w:p>
        </w:tc>
        <w:tc>
          <w:tcPr>
            <w:tcW w:w="391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Gałkowicach</w:t>
            </w:r>
          </w:p>
        </w:tc>
        <w:tc>
          <w:tcPr>
            <w:tcW w:w="1288"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1966</w:t>
            </w:r>
          </w:p>
        </w:tc>
        <w:tc>
          <w:tcPr>
            <w:tcW w:w="2936"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Lekki - Iveco Daily 70C17 - rok produkcji 2019</w:t>
            </w:r>
          </w:p>
        </w:tc>
      </w:tr>
      <w:tr>
        <w:trPr>
          <w:trHeight w:val="359" w:hRule="atLeast"/>
        </w:trPr>
        <w:tc>
          <w:tcPr>
            <w:tcW w:w="54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w:t>
            </w:r>
          </w:p>
        </w:tc>
        <w:tc>
          <w:tcPr>
            <w:tcW w:w="3917"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Winiarkach</w:t>
            </w:r>
          </w:p>
        </w:tc>
        <w:tc>
          <w:tcPr>
            <w:tcW w:w="1288"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1965</w:t>
            </w:r>
          </w:p>
        </w:tc>
        <w:tc>
          <w:tcPr>
            <w:tcW w:w="2936"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Lekki – Ford Transit – rok produkcji - 2009</w:t>
            </w:r>
          </w:p>
        </w:tc>
      </w:tr>
      <w:tr>
        <w:trPr>
          <w:trHeight w:val="359" w:hRule="atLeast"/>
        </w:trPr>
        <w:tc>
          <w:tcPr>
            <w:tcW w:w="544" w:type="dxa"/>
            <w:tcBorders>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4</w:t>
            </w:r>
          </w:p>
        </w:tc>
        <w:tc>
          <w:tcPr>
            <w:tcW w:w="391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Szczytnikach</w:t>
            </w:r>
          </w:p>
        </w:tc>
        <w:tc>
          <w:tcPr>
            <w:tcW w:w="1288"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1961</w:t>
            </w:r>
          </w:p>
        </w:tc>
        <w:tc>
          <w:tcPr>
            <w:tcW w:w="2936"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Średni – Mercedes Benz Atego</w:t>
            </w:r>
          </w:p>
        </w:tc>
      </w:tr>
      <w:tr>
        <w:trPr>
          <w:trHeight w:val="576" w:hRule="atLeast"/>
        </w:trPr>
        <w:tc>
          <w:tcPr>
            <w:tcW w:w="54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5</w:t>
            </w:r>
          </w:p>
        </w:tc>
        <w:tc>
          <w:tcPr>
            <w:tcW w:w="3917"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Romanówce z siedziba w Romanówce</w:t>
            </w:r>
          </w:p>
        </w:tc>
        <w:tc>
          <w:tcPr>
            <w:tcW w:w="1288"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1951</w:t>
            </w:r>
          </w:p>
        </w:tc>
        <w:tc>
          <w:tcPr>
            <w:tcW w:w="2936"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Średni - Jelcz 005 - rok produkcji 1990</w:t>
            </w:r>
          </w:p>
          <w:p>
            <w:pPr>
              <w:pStyle w:val="Normal"/>
              <w:widowControl w:val="false"/>
              <w:spacing w:lineRule="auto" w:line="240" w:before="0" w:after="0"/>
              <w:jc w:val="center"/>
              <w:rPr>
                <w:rFonts w:eastAsia="Times New Roman" w:cs="Calibri" w:cstheme="minorHAnsi"/>
              </w:rPr>
            </w:pPr>
            <w:r>
              <w:rPr>
                <w:rFonts w:eastAsia="Times New Roman" w:cs="Calibri" w:cstheme="minorHAnsi"/>
              </w:rPr>
              <w:t>Lekki – Opel Combo – rok produkcji - 2005</w:t>
            </w:r>
          </w:p>
        </w:tc>
      </w:tr>
      <w:tr>
        <w:trPr>
          <w:trHeight w:val="350" w:hRule="atLeast"/>
        </w:trPr>
        <w:tc>
          <w:tcPr>
            <w:tcW w:w="544" w:type="dxa"/>
            <w:tcBorders>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6</w:t>
            </w:r>
          </w:p>
        </w:tc>
        <w:tc>
          <w:tcPr>
            <w:tcW w:w="391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Nowych Kicharach</w:t>
            </w:r>
          </w:p>
        </w:tc>
        <w:tc>
          <w:tcPr>
            <w:tcW w:w="1288"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1929</w:t>
            </w:r>
          </w:p>
        </w:tc>
        <w:tc>
          <w:tcPr>
            <w:tcW w:w="2936"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Lekki – Gazelle– rok produkcji - 2006</w:t>
            </w:r>
          </w:p>
        </w:tc>
      </w:tr>
      <w:tr>
        <w:trPr>
          <w:trHeight w:val="350" w:hRule="atLeast"/>
        </w:trPr>
        <w:tc>
          <w:tcPr>
            <w:tcW w:w="54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7</w:t>
            </w:r>
          </w:p>
        </w:tc>
        <w:tc>
          <w:tcPr>
            <w:tcW w:w="3917"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Mściów Nowy Kamień</w:t>
            </w:r>
          </w:p>
        </w:tc>
        <w:tc>
          <w:tcPr>
            <w:tcW w:w="1288"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1928</w:t>
            </w:r>
          </w:p>
        </w:tc>
        <w:tc>
          <w:tcPr>
            <w:tcW w:w="2936"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Ciężki – Jelcz 004 – rok produkcji - 1992</w:t>
            </w:r>
          </w:p>
          <w:p>
            <w:pPr>
              <w:pStyle w:val="Normal"/>
              <w:widowControl w:val="false"/>
              <w:spacing w:lineRule="auto" w:line="240" w:before="0" w:after="0"/>
              <w:jc w:val="center"/>
              <w:rPr>
                <w:rFonts w:eastAsia="Times New Roman" w:cs="Calibri" w:cstheme="minorHAnsi"/>
              </w:rPr>
            </w:pPr>
            <w:r>
              <w:rPr>
                <w:rFonts w:eastAsia="Times New Roman" w:cs="Calibri" w:cstheme="minorHAnsi"/>
              </w:rPr>
              <w:t>Ciężki - Star- Man - rok produkcji 2005</w:t>
            </w:r>
          </w:p>
          <w:p>
            <w:pPr>
              <w:pStyle w:val="Normal"/>
              <w:widowControl w:val="false"/>
              <w:spacing w:lineRule="auto" w:line="240" w:before="0" w:after="0"/>
              <w:jc w:val="center"/>
              <w:rPr>
                <w:rFonts w:eastAsia="Times New Roman" w:cs="Calibri" w:cstheme="minorHAnsi"/>
              </w:rPr>
            </w:pPr>
            <w:r>
              <w:rPr>
                <w:rFonts w:eastAsia="Times New Roman" w:cs="Calibri" w:cstheme="minorHAnsi"/>
              </w:rPr>
              <w:t>Lekki – Renault Trafic – rok produkcji - 2012</w:t>
            </w:r>
          </w:p>
        </w:tc>
      </w:tr>
      <w:tr>
        <w:trPr>
          <w:trHeight w:val="576" w:hRule="atLeast"/>
        </w:trPr>
        <w:tc>
          <w:tcPr>
            <w:tcW w:w="544" w:type="dxa"/>
            <w:tcBorders>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8</w:t>
            </w:r>
          </w:p>
        </w:tc>
        <w:tc>
          <w:tcPr>
            <w:tcW w:w="391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Winiarach</w:t>
            </w:r>
          </w:p>
        </w:tc>
        <w:tc>
          <w:tcPr>
            <w:tcW w:w="1288"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1925</w:t>
            </w:r>
          </w:p>
        </w:tc>
        <w:tc>
          <w:tcPr>
            <w:tcW w:w="2936"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Średni – Man – rok produkcji - 2010</w:t>
            </w:r>
          </w:p>
        </w:tc>
      </w:tr>
      <w:tr>
        <w:trPr>
          <w:trHeight w:val="576" w:hRule="atLeast"/>
        </w:trPr>
        <w:tc>
          <w:tcPr>
            <w:tcW w:w="54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9</w:t>
            </w:r>
          </w:p>
        </w:tc>
        <w:tc>
          <w:tcPr>
            <w:tcW w:w="3917"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Garbowie z siedziba w Garbowie</w:t>
            </w:r>
          </w:p>
        </w:tc>
        <w:tc>
          <w:tcPr>
            <w:tcW w:w="1288"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1922</w:t>
            </w:r>
          </w:p>
        </w:tc>
        <w:tc>
          <w:tcPr>
            <w:tcW w:w="2936"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Lekki – Żuk– rok produkcji - 1975</w:t>
            </w:r>
          </w:p>
        </w:tc>
      </w:tr>
      <w:tr>
        <w:trPr>
          <w:trHeight w:val="350" w:hRule="atLeast"/>
        </w:trPr>
        <w:tc>
          <w:tcPr>
            <w:tcW w:w="544" w:type="dxa"/>
            <w:tcBorders>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10</w:t>
            </w:r>
          </w:p>
        </w:tc>
        <w:tc>
          <w:tcPr>
            <w:tcW w:w="3917" w:type="dxa"/>
            <w:tcBorders>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Dwikozach</w:t>
            </w:r>
          </w:p>
        </w:tc>
        <w:tc>
          <w:tcPr>
            <w:tcW w:w="1288"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1922</w:t>
            </w:r>
          </w:p>
        </w:tc>
        <w:tc>
          <w:tcPr>
            <w:tcW w:w="2936" w:type="dxa"/>
            <w:tcBorders>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Średni - Star L70 – rok produkcji - 2004</w:t>
            </w:r>
          </w:p>
          <w:p>
            <w:pPr>
              <w:pStyle w:val="Normal"/>
              <w:widowControl w:val="false"/>
              <w:spacing w:lineRule="auto" w:line="240" w:before="0" w:after="0"/>
              <w:jc w:val="center"/>
              <w:rPr>
                <w:rFonts w:eastAsia="Times New Roman" w:cs="Calibri" w:cstheme="minorHAnsi"/>
              </w:rPr>
            </w:pPr>
            <w:r>
              <w:rPr>
                <w:rFonts w:eastAsia="Times New Roman" w:cs="Calibri" w:cstheme="minorHAnsi"/>
              </w:rPr>
              <w:t>Lekki – Ford Transit – rok produkcji - 2006</w:t>
            </w:r>
          </w:p>
        </w:tc>
      </w:tr>
      <w:tr>
        <w:trPr>
          <w:trHeight w:val="350" w:hRule="atLeast"/>
        </w:trPr>
        <w:tc>
          <w:tcPr>
            <w:tcW w:w="54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11</w:t>
            </w:r>
          </w:p>
        </w:tc>
        <w:tc>
          <w:tcPr>
            <w:tcW w:w="3917"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Ochotnicza Straż Pożarna w Słupczy</w:t>
            </w:r>
          </w:p>
        </w:tc>
        <w:tc>
          <w:tcPr>
            <w:tcW w:w="1288"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1917</w:t>
            </w:r>
          </w:p>
        </w:tc>
        <w:tc>
          <w:tcPr>
            <w:tcW w:w="2936" w:type="dxa"/>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eastAsia="Times New Roman" w:cs="Calibri" w:cstheme="minorHAnsi"/>
              </w:rPr>
            </w:pPr>
            <w:r>
              <w:rPr>
                <w:rFonts w:eastAsia="Times New Roman" w:cs="Calibri" w:cstheme="minorHAnsi"/>
              </w:rPr>
              <w:t>Średni - Mercedes- Benz Atego 1530- rok produkcji 2018</w:t>
            </w:r>
          </w:p>
        </w:tc>
      </w:tr>
    </w:tbl>
    <w:p>
      <w:pPr>
        <w:pStyle w:val="Normal"/>
        <w:suppressAutoHyphens w:val="true"/>
        <w:spacing w:lineRule="auto" w:line="240" w:before="0" w:after="0"/>
        <w:jc w:val="center"/>
        <w:textAlignment w:val="baseline"/>
        <w:rPr>
          <w:rFonts w:eastAsia="Times New Roman" w:cs="Calibri" w:cstheme="minorHAnsi"/>
          <w:color w:val="000000"/>
          <w:lang w:eastAsia="zh-CN"/>
        </w:rPr>
      </w:pPr>
      <w:r>
        <w:rPr>
          <w:rFonts w:eastAsia="Times New Roman" w:cs="Calibri" w:cstheme="minorHAnsi"/>
          <w:color w:val="000000"/>
          <w:lang w:eastAsia="zh-CN"/>
        </w:rPr>
        <w:t>Źródło: opracowanie własne na podstawie danych KRS oraz danych Urzędu Gminy w Dwikozach.</w:t>
      </w:r>
    </w:p>
    <w:p>
      <w:pPr>
        <w:pStyle w:val="Normal"/>
        <w:suppressAutoHyphens w:val="true"/>
        <w:spacing w:lineRule="auto" w:line="240" w:before="0" w:after="0"/>
        <w:jc w:val="center"/>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Aż 5 jednostek, tj. OSP Dwikozy, OSP Mściów- Nowy Kamień, OSP Słupcza, OSP Szczytniki i OSP Winiary włączone są do Krajowego Systemu Ratowniczo – Gaśniczego (KSRG). System ten to integralna część organizacji bezpieczeństwa wewnętrznego państwa, mający na celu ratowanie życia, zdrowia, mienia lub środowiska oraz prognozowanie, rozpoznawanie i zwalczanie pożarów, klęsk żywiołowych lub innych miejscowych zagrożeń. System skupia jednostki ochrony przeciwpożarowej, inne służby, inspekcje, straże, instytucje oraz podmioty, które dobrowolnie w drodze umowy cywilnoprawnej zgodziły się współdziałać w akcjach ratowniczych. Głównym celem KSRG jest zapewnienie ochrony życia, zdrowia, mienia lub środowiska, w ramach działań podejmowanych przez Państwową Straż Pożarną i inne podmioty ratownicze (ze szczególnym uwzględnieniem OSP), poprzez:</w:t>
      </w:r>
    </w:p>
    <w:p>
      <w:pPr>
        <w:pStyle w:val="ListParagraph"/>
        <w:numPr>
          <w:ilvl w:val="0"/>
          <w:numId w:val="65"/>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gaszenie pożarów,</w:t>
      </w:r>
    </w:p>
    <w:p>
      <w:pPr>
        <w:pStyle w:val="ListParagraph"/>
        <w:numPr>
          <w:ilvl w:val="0"/>
          <w:numId w:val="65"/>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likwidację miejscowych zagrożeń (działania ratownicze),</w:t>
      </w:r>
    </w:p>
    <w:p>
      <w:pPr>
        <w:pStyle w:val="ListParagraph"/>
        <w:numPr>
          <w:ilvl w:val="0"/>
          <w:numId w:val="65"/>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ratownictwo chemiczne i ekologiczne,</w:t>
      </w:r>
    </w:p>
    <w:p>
      <w:pPr>
        <w:pStyle w:val="ListParagraph"/>
        <w:numPr>
          <w:ilvl w:val="0"/>
          <w:numId w:val="65"/>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ratownictwo techniczne,</w:t>
      </w:r>
    </w:p>
    <w:p>
      <w:pPr>
        <w:pStyle w:val="ListParagraph"/>
        <w:numPr>
          <w:ilvl w:val="0"/>
          <w:numId w:val="65"/>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ratownictwo medyczne w zakresie udzielania kwalifikowanej pierwszej pomocy (KPP).</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 xml:space="preserve">Krajowy system ratowniczo-gaśniczy, w ramach posiadanych sił i środków, współpracuje </w:t>
        <w:br/>
        <w:t>z właściwymi organami i podmiotami podczas zdarzeń nadzwyczajnych wywołanych zagrożeniem czynnikiem biologicznym, w tym podczas zdarzeń o charakterze terrorystycznym.</w:t>
      </w:r>
    </w:p>
    <w:p>
      <w:pPr>
        <w:pStyle w:val="Normal"/>
        <w:suppressAutoHyphens w:val="true"/>
        <w:spacing w:lineRule="auto" w:line="240" w:before="0" w:after="0"/>
        <w:jc w:val="both"/>
        <w:textAlignment w:val="baseline"/>
        <w:rPr>
          <w:rFonts w:eastAsia="Times New Roman" w:cs="Calibri" w:cstheme="minorHAnsi"/>
          <w:color w:val="000000"/>
          <w:highlight w:val="yellow"/>
          <w:lang w:eastAsia="zh-CN"/>
        </w:rPr>
      </w:pPr>
      <w:r>
        <w:rPr>
          <w:rFonts w:eastAsia="Times New Roman" w:cs="Calibri" w:cstheme="minorHAnsi"/>
          <w:color w:val="000000"/>
          <w:highlight w:val="yellow"/>
          <w:lang w:eastAsia="zh-CN"/>
        </w:rPr>
      </w:r>
    </w:p>
    <w:p>
      <w:pPr>
        <w:pStyle w:val="Normal"/>
        <w:suppressAutoHyphens w:val="true"/>
        <w:spacing w:lineRule="auto" w:line="240" w:before="0" w:after="0"/>
        <w:jc w:val="both"/>
        <w:textAlignment w:val="baseline"/>
        <w:rPr>
          <w:rFonts w:cs="Calibri" w:cstheme="minorHAnsi"/>
        </w:rPr>
      </w:pPr>
      <w:r>
        <w:rPr>
          <w:rFonts w:eastAsia="Times New Roman" w:cs="Calibri" w:cstheme="minorHAnsi"/>
          <w:color w:val="000000"/>
          <w:lang w:eastAsia="zh-CN"/>
        </w:rPr>
        <w:t xml:space="preserve">W 2021 roku na </w:t>
      </w:r>
      <w:r>
        <w:rPr>
          <w:rFonts w:eastAsia="Times New Roman" w:cs="Calibri" w:cstheme="minorHAnsi"/>
          <w:b/>
          <w:color w:val="000000"/>
          <w:lang w:eastAsia="zh-CN"/>
        </w:rPr>
        <w:t>działalność Ochotniczych Straży Pożarnych</w:t>
      </w:r>
      <w:r>
        <w:rPr>
          <w:rFonts w:eastAsia="Times New Roman" w:cs="Calibri" w:cstheme="minorHAnsi"/>
          <w:color w:val="000000"/>
          <w:lang w:eastAsia="zh-CN"/>
        </w:rPr>
        <w:t xml:space="preserve"> wydano kwotę </w:t>
      </w:r>
      <w:r>
        <w:rPr>
          <w:rFonts w:eastAsia="Times New Roman" w:cs="Calibri" w:cstheme="minorHAnsi"/>
          <w:b/>
          <w:color w:val="000000"/>
          <w:lang w:eastAsia="zh-CN"/>
        </w:rPr>
        <w:t>15 768,00</w:t>
      </w:r>
      <w:r>
        <w:rPr>
          <w:rFonts w:eastAsia="Times New Roman" w:cs="Calibri" w:cstheme="minorHAnsi"/>
          <w:color w:val="000000"/>
          <w:lang w:eastAsia="zh-CN"/>
        </w:rPr>
        <w:t xml:space="preserve"> </w:t>
      </w:r>
      <w:r>
        <w:rPr>
          <w:rFonts w:eastAsia="Times New Roman" w:cs="Calibri" w:cstheme="minorHAnsi"/>
          <w:b/>
          <w:color w:val="000000"/>
          <w:lang w:eastAsia="zh-CN"/>
        </w:rPr>
        <w:t xml:space="preserve">zł </w:t>
        <w:br/>
      </w:r>
      <w:r>
        <w:rPr>
          <w:rFonts w:cs="Calibri" w:cstheme="minorHAnsi"/>
        </w:rPr>
        <w:t xml:space="preserve">z przeznaczeniem na zakup sprzętu pożarniczego, wyposażenia ochronnego i remonty garaży. </w:t>
      </w:r>
    </w:p>
    <w:p>
      <w:pPr>
        <w:pStyle w:val="Normal"/>
        <w:suppressAutoHyphens w:val="true"/>
        <w:spacing w:lineRule="auto" w:line="240" w:before="0" w:after="0"/>
        <w:jc w:val="both"/>
        <w:textAlignment w:val="baseline"/>
        <w:rPr>
          <w:rFonts w:cs="Calibri" w:cstheme="minorHAnsi"/>
        </w:rPr>
      </w:pPr>
      <w:r>
        <w:rPr>
          <w:rFonts w:cs="Calibri" w:cstheme="minorHAnsi"/>
        </w:rPr>
      </w:r>
    </w:p>
    <w:p>
      <w:pPr>
        <w:pStyle w:val="Normal"/>
        <w:suppressAutoHyphens w:val="true"/>
        <w:spacing w:lineRule="auto" w:line="240" w:before="0" w:after="0"/>
        <w:jc w:val="both"/>
        <w:textAlignment w:val="baseline"/>
        <w:rPr>
          <w:rFonts w:cs="Calibri" w:cstheme="minorHAnsi"/>
        </w:rPr>
      </w:pPr>
      <w:r>
        <w:rPr>
          <w:rFonts w:cs="Calibri" w:cstheme="minorHAnsi"/>
        </w:rPr>
        <w:t>Zdiagnozowane potrzeby:</w:t>
      </w:r>
    </w:p>
    <w:p>
      <w:pPr>
        <w:pStyle w:val="Normal"/>
        <w:spacing w:lineRule="auto" w:line="240" w:before="0" w:after="0"/>
        <w:jc w:val="both"/>
        <w:rPr>
          <w:rFonts w:ascii="Calibri" w:hAnsi="Calibri" w:eastAsia="Calibri" w:cs="Calibri"/>
          <w:color w:val="000000"/>
          <w:lang w:eastAsia="pl-PL"/>
        </w:rPr>
      </w:pPr>
      <w:r>
        <w:rPr>
          <w:rFonts w:eastAsia="Times New Roman" w:cs="Calibri"/>
          <w:color w:val="000000"/>
          <w:lang w:eastAsia="pl-PL"/>
        </w:rPr>
        <w:t xml:space="preserve">1. </w:t>
      </w:r>
      <w:r>
        <w:rPr>
          <w:rFonts w:eastAsia="Calibri" w:cs="Times New Roman"/>
          <w:lang w:eastAsia="pl-PL"/>
        </w:rPr>
        <w:t>Doposażenie jednostek OSP z terenu gminy Dwikozy w sprzęt niezbędny do bezpiecznego przeprowadzania akcji ratowniczo-gaśniczych (w szczególności jednostki wchodzące w skład KSRG</w:t>
      </w:r>
      <w:r>
        <w:rPr>
          <w:rFonts w:eastAsia="Calibri" w:cs="Times New Roman"/>
        </w:rPr>
        <w:t>)</w:t>
      </w:r>
      <w:r>
        <w:rPr>
          <w:rFonts w:eastAsia="Calibri" w:cs="Calibri"/>
          <w:color w:val="000000"/>
          <w:lang w:eastAsia="pl-PL"/>
        </w:rPr>
        <w:t xml:space="preserve"> w tym samochodów bojowych i innego wyposażenia.</w:t>
      </w:r>
    </w:p>
    <w:p>
      <w:pPr>
        <w:pStyle w:val="Normal"/>
        <w:rPr>
          <w:rFonts w:ascii="Calibri" w:hAnsi="Calibri" w:eastAsia="Calibri" w:cs="Calibri"/>
          <w:color w:val="000000"/>
          <w:lang w:eastAsia="pl-PL"/>
        </w:rPr>
      </w:pPr>
      <w:r>
        <w:rPr>
          <w:rFonts w:eastAsia="Calibri" w:cs="Calibri"/>
          <w:color w:val="000000"/>
          <w:lang w:eastAsia="pl-PL"/>
        </w:rPr>
        <w:t>2. Współpraca z Policją oraz Strażą Pożarną w celu zapewnienia i poprawy bezpieczeństwa na terenie gminy.</w:t>
      </w:r>
    </w:p>
    <w:p>
      <w:pPr>
        <w:pStyle w:val="Nagwek2"/>
        <w:numPr>
          <w:ilvl w:val="1"/>
          <w:numId w:val="1"/>
        </w:numPr>
        <w:spacing w:lineRule="auto" w:line="240" w:before="0" w:after="120"/>
        <w:ind w:left="426" w:hanging="432"/>
        <w:rPr>
          <w:rFonts w:ascii="Calibri" w:hAnsi="Calibri" w:cs="Calibri" w:asciiTheme="minorHAnsi" w:cstheme="minorHAnsi" w:hAnsiTheme="minorHAnsi"/>
          <w:i w:val="false"/>
          <w:i w:val="false"/>
          <w:iCs w:val="false"/>
        </w:rPr>
      </w:pPr>
      <w:bookmarkStart w:id="234" w:name="_Toc69212071"/>
      <w:bookmarkStart w:id="235" w:name="_Toc118887470"/>
      <w:r>
        <w:rPr>
          <w:rFonts w:cs="Calibri" w:ascii="Calibri" w:hAnsi="Calibri" w:asciiTheme="minorHAnsi" w:cstheme="minorHAnsi" w:hAnsiTheme="minorHAnsi"/>
          <w:i w:val="false"/>
          <w:iCs w:val="false"/>
        </w:rPr>
        <w:t>Instytucje kultury i ich działalność</w:t>
      </w:r>
      <w:bookmarkEnd w:id="234"/>
      <w:bookmarkEnd w:id="235"/>
    </w:p>
    <w:p>
      <w:pPr>
        <w:pStyle w:val="NoSpacing"/>
        <w:jc w:val="both"/>
        <w:rPr>
          <w:rFonts w:ascii="Calibri" w:hAnsi="Calibri" w:cs="Calibri" w:asciiTheme="minorHAnsi" w:cstheme="minorHAnsi" w:hAnsiTheme="minorHAnsi"/>
        </w:rPr>
      </w:pPr>
      <w:r>
        <w:rPr>
          <w:rFonts w:cs="Calibri" w:cstheme="minorHAnsi"/>
        </w:rPr>
        <w:t>Na terenie gminy Dwikozy funkcjonują dwie instytucje kultury:</w:t>
      </w:r>
    </w:p>
    <w:p>
      <w:pPr>
        <w:pStyle w:val="NoSpacing"/>
        <w:numPr>
          <w:ilvl w:val="0"/>
          <w:numId w:val="18"/>
        </w:numPr>
        <w:tabs>
          <w:tab w:val="clear" w:pos="720"/>
          <w:tab w:val="left" w:pos="426" w:leader="none"/>
        </w:tabs>
        <w:jc w:val="both"/>
        <w:rPr>
          <w:rFonts w:ascii="Calibri" w:hAnsi="Calibri" w:cs="Calibri" w:asciiTheme="minorHAnsi" w:cstheme="minorHAnsi" w:hAnsiTheme="minorHAnsi"/>
        </w:rPr>
      </w:pPr>
      <w:r>
        <w:rPr>
          <w:rFonts w:cs="Calibri" w:cstheme="minorHAnsi"/>
        </w:rPr>
        <w:t xml:space="preserve">Gminny Ośrodek Kultury w Dwikozach (GOK), </w:t>
      </w:r>
    </w:p>
    <w:p>
      <w:pPr>
        <w:pStyle w:val="NoSpacing"/>
        <w:numPr>
          <w:ilvl w:val="0"/>
          <w:numId w:val="18"/>
        </w:numPr>
        <w:tabs>
          <w:tab w:val="clear" w:pos="720"/>
          <w:tab w:val="left" w:pos="426" w:leader="none"/>
        </w:tabs>
        <w:jc w:val="both"/>
        <w:rPr>
          <w:rFonts w:ascii="Calibri" w:hAnsi="Calibri" w:cs="Calibri" w:asciiTheme="minorHAnsi" w:cstheme="minorHAnsi" w:hAnsiTheme="minorHAnsi"/>
        </w:rPr>
      </w:pPr>
      <w:r>
        <w:rPr>
          <w:rFonts w:cs="Calibri" w:cstheme="minorHAnsi"/>
        </w:rPr>
        <w:t>Gminna Biblioteka Publiczna w Dwikozach.</w:t>
      </w:r>
    </w:p>
    <w:p>
      <w:pPr>
        <w:pStyle w:val="NoSpacing"/>
        <w:tabs>
          <w:tab w:val="clear" w:pos="720"/>
          <w:tab w:val="left" w:pos="426" w:leader="none"/>
        </w:tabs>
        <w:jc w:val="both"/>
        <w:rPr>
          <w:rFonts w:ascii="Calibri" w:hAnsi="Calibri" w:cs="Calibri" w:asciiTheme="minorHAnsi" w:cstheme="minorHAnsi" w:hAnsiTheme="minorHAnsi"/>
          <w:highlight w:val="yellow"/>
        </w:rPr>
      </w:pPr>
      <w:r>
        <w:rPr>
          <w:rFonts w:cs="Calibri" w:cstheme="minorHAnsi"/>
          <w:highlight w:val="yellow"/>
        </w:rPr>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t>Instytucje te są finansowane przez Gminę Dwikozy w formie dotacji podmiotowych oraz celowych. Instytucje kultury pozyskują też samodzielnie środki zewnętrzne na realizację projektów służących rozwojowi życia społeczno-kulturalnego na terenie gminy.</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b/>
          <w:bCs/>
        </w:rPr>
        <w:t xml:space="preserve">Gminny Ośrodek Kultury w Dwikozach </w:t>
      </w:r>
      <w:r>
        <w:rPr>
          <w:rFonts w:cs="Calibri" w:cstheme="minorHAnsi"/>
        </w:rPr>
        <w:t>jest gminną instytucją kultury. Działa w szczególności na podstawie:</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t>1) ustawy z dnia 25 października 1991 roku o organizowaniu i prowadzeniu działalności kulturalnej,</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t>2) ustawy z dnia 29 września 1994 roku o rachunkowości,</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t>3) postanowień Statutu.</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t>Podstawowym zadaniem Gminnego Ośrodka Kultury jest zaspokajanie potrzeb i aspiracji kulturalnych społeczeństwa poprzez tworzenie i upowszechnianie różnych dziedzin kultury oraz sztuki profesjonalnej i amatorskiej. Do zadań GOK należy w szczególności:</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edukacja kulturalna i wychowanie przez sztukę,</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 xml:space="preserve">tworzenie warunków dla rozwoju amatorskiego ruchu kulturalnego oraz rozwoju folkloru </w:t>
        <w:br/>
        <w:t>i sztuki ludowej,</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rozpoznawanie, rozbudzanie i zaspokajanie potrzeb oraz zainteresowań kulturalnych środowiska,</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propagowanie indywidualnej aktywności kulturalnej,</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organizowanie imprez kulturalnych,</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prowadzenie sekcji i zespołów zainteresowań,</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organizowanie koncertów, konkursów i przeglądów,</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organizowanie imprez rozrywkowych, turystycznych i rekreacyjno-sportowych,</w:t>
      </w:r>
    </w:p>
    <w:p>
      <w:pPr>
        <w:pStyle w:val="NoSpacing"/>
        <w:numPr>
          <w:ilvl w:val="0"/>
          <w:numId w:val="50"/>
        </w:numPr>
        <w:tabs>
          <w:tab w:val="clear" w:pos="720"/>
          <w:tab w:val="left" w:pos="426" w:leader="none"/>
        </w:tabs>
        <w:jc w:val="both"/>
        <w:rPr>
          <w:rFonts w:ascii="Calibri" w:hAnsi="Calibri" w:cs="Calibri" w:asciiTheme="minorHAnsi" w:cstheme="minorHAnsi" w:hAnsiTheme="minorHAnsi"/>
        </w:rPr>
      </w:pPr>
      <w:r>
        <w:rPr>
          <w:rFonts w:cs="Calibri" w:cstheme="minorHAnsi"/>
        </w:rPr>
        <w:t xml:space="preserve">współdziałanie z placówkami oświatowo-wychowawczymi, bibliotekami oraz organizacjami </w:t>
        <w:br/>
        <w:t>i stowarzyszeniami społecznymi w rozwijaniu i zaspokajaniu potrzeb kulturalnych społeczeństwa gminy.</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r>
    </w:p>
    <w:p>
      <w:pPr>
        <w:pStyle w:val="NoSpacing"/>
        <w:tabs>
          <w:tab w:val="clear" w:pos="720"/>
          <w:tab w:val="left" w:pos="426" w:leader="none"/>
        </w:tabs>
        <w:jc w:val="both"/>
        <w:rPr>
          <w:rFonts w:ascii="Calibri" w:hAnsi="Calibri" w:cs="Calibri" w:asciiTheme="minorHAnsi" w:cstheme="minorHAnsi" w:hAnsiTheme="minorHAnsi"/>
          <w:b/>
          <w:b/>
          <w:bCs/>
        </w:rPr>
      </w:pPr>
      <w:r>
        <w:rPr>
          <w:rFonts w:cs="Calibri" w:cstheme="minorHAnsi"/>
          <w:b/>
          <w:bCs/>
        </w:rPr>
        <w:t>Zajęcia pozalekcyjne dla dzieci i młodzieży prowadzone przez GOK:</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 xml:space="preserve">Zajęcia sportowe w Szkole Podstawowej w Dwikozach (3 grupy wiekowe), </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nauka gry na instrumentach (zajęcia indywidualne),</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zajęcia wokalne (nauka śpiewu),</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zajęcia z rytmiki w przedszkolach,</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wyjazdy dzieci na basen w ramach programu „Umiem pływać”,</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aerobik,</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zajęcia na hali sportowej (piłka nożna, piłka siatkowa, tenis stołowy, siłownia),</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zajęcia na sali ćwiczeń siłowych GOK,</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 xml:space="preserve">zajęcia muzyczne: Stowarzyszenie , „Klub Seniora” w Nowym Kamieniu, Chór KGW </w:t>
        <w:br/>
        <w:t>w Dwikozach, Zespół Ludowy „Kalina” w Nowych Kicharach,</w:t>
      </w:r>
    </w:p>
    <w:p>
      <w:pPr>
        <w:pStyle w:val="NoSpacing"/>
        <w:numPr>
          <w:ilvl w:val="0"/>
          <w:numId w:val="51"/>
        </w:numPr>
        <w:tabs>
          <w:tab w:val="clear" w:pos="720"/>
          <w:tab w:val="left" w:pos="426" w:leader="none"/>
        </w:tabs>
        <w:jc w:val="both"/>
        <w:rPr>
          <w:rFonts w:ascii="Calibri" w:hAnsi="Calibri" w:cs="Calibri" w:asciiTheme="minorHAnsi" w:cstheme="minorHAnsi" w:hAnsiTheme="minorHAnsi"/>
        </w:rPr>
      </w:pPr>
      <w:r>
        <w:rPr>
          <w:rFonts w:cs="Calibri" w:cstheme="minorHAnsi"/>
        </w:rPr>
        <w:t>zajęcia plastyczno-manualne dla dorosłych.</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b/>
          <w:bCs/>
        </w:rPr>
        <w:t>Gminna Biblioteka Publiczna w Dwikozach</w:t>
      </w:r>
    </w:p>
    <w:p>
      <w:pPr>
        <w:pStyle w:val="NoSpacing"/>
        <w:tabs>
          <w:tab w:val="clear" w:pos="720"/>
          <w:tab w:val="left" w:pos="426" w:leader="none"/>
        </w:tabs>
        <w:jc w:val="both"/>
        <w:rPr>
          <w:rFonts w:ascii="Calibri" w:hAnsi="Calibri" w:cs="Calibri" w:asciiTheme="minorHAnsi" w:cstheme="minorHAnsi" w:hAnsiTheme="minorHAnsi"/>
        </w:rPr>
      </w:pPr>
      <w:r>
        <w:rPr>
          <w:rFonts w:cs="Calibri" w:cstheme="minorHAnsi"/>
        </w:rPr>
        <w:t>Siedziba biblioteki mieści się w budynku Urzędu Gminy w Dwikozach. Biblioteka posiada filie w:</w:t>
      </w:r>
    </w:p>
    <w:p>
      <w:pPr>
        <w:pStyle w:val="NoSpacing"/>
        <w:numPr>
          <w:ilvl w:val="0"/>
          <w:numId w:val="33"/>
        </w:numPr>
        <w:tabs>
          <w:tab w:val="clear" w:pos="720"/>
          <w:tab w:val="left" w:pos="426" w:leader="none"/>
        </w:tabs>
        <w:jc w:val="both"/>
        <w:rPr>
          <w:rFonts w:ascii="Calibri" w:hAnsi="Calibri" w:cs="Calibri" w:asciiTheme="minorHAnsi" w:cstheme="minorHAnsi" w:hAnsiTheme="minorHAnsi"/>
        </w:rPr>
      </w:pPr>
      <w:r>
        <w:rPr>
          <w:rFonts w:cs="Calibri" w:cstheme="minorHAnsi"/>
        </w:rPr>
        <w:t>Gałkowicach w budynku szkoły podstawowej,</w:t>
      </w:r>
    </w:p>
    <w:p>
      <w:pPr>
        <w:pStyle w:val="NoSpacing"/>
        <w:numPr>
          <w:ilvl w:val="0"/>
          <w:numId w:val="33"/>
        </w:numPr>
        <w:tabs>
          <w:tab w:val="clear" w:pos="720"/>
          <w:tab w:val="left" w:pos="426" w:leader="none"/>
        </w:tabs>
        <w:jc w:val="both"/>
        <w:rPr>
          <w:rFonts w:ascii="Calibri" w:hAnsi="Calibri" w:cs="Calibri" w:asciiTheme="minorHAnsi" w:cstheme="minorHAnsi" w:hAnsiTheme="minorHAnsi"/>
        </w:rPr>
      </w:pPr>
      <w:r>
        <w:rPr>
          <w:rFonts w:cs="Calibri" w:cstheme="minorHAnsi"/>
        </w:rPr>
        <w:t>Starym Garbowie w budynku Wiejskiego Domu Kultury,</w:t>
      </w:r>
    </w:p>
    <w:p>
      <w:pPr>
        <w:pStyle w:val="NoSpacing"/>
        <w:numPr>
          <w:ilvl w:val="0"/>
          <w:numId w:val="33"/>
        </w:numPr>
        <w:tabs>
          <w:tab w:val="clear" w:pos="720"/>
          <w:tab w:val="left" w:pos="426" w:leader="none"/>
        </w:tabs>
        <w:jc w:val="both"/>
        <w:rPr>
          <w:rFonts w:ascii="Calibri" w:hAnsi="Calibri" w:cs="Calibri" w:asciiTheme="minorHAnsi" w:cstheme="minorHAnsi" w:hAnsiTheme="minorHAnsi"/>
        </w:rPr>
      </w:pPr>
      <w:r>
        <w:rPr>
          <w:rFonts w:cs="Calibri" w:cstheme="minorHAnsi"/>
        </w:rPr>
        <w:t>Mściowie Filia w budynku Wiejskiego Domu Kultury,</w:t>
      </w:r>
    </w:p>
    <w:p>
      <w:pPr>
        <w:pStyle w:val="NoSpacing"/>
        <w:numPr>
          <w:ilvl w:val="0"/>
          <w:numId w:val="33"/>
        </w:numPr>
        <w:tabs>
          <w:tab w:val="clear" w:pos="720"/>
          <w:tab w:val="left" w:pos="426" w:leader="none"/>
        </w:tabs>
        <w:jc w:val="both"/>
        <w:rPr>
          <w:rFonts w:ascii="Calibri" w:hAnsi="Calibri" w:cs="Calibri" w:asciiTheme="minorHAnsi" w:cstheme="minorHAnsi" w:hAnsiTheme="minorHAnsi"/>
        </w:rPr>
      </w:pPr>
      <w:r>
        <w:rPr>
          <w:rFonts w:cs="Calibri" w:cstheme="minorHAnsi"/>
        </w:rPr>
        <w:t>Słupczy w budynku szkoły podstawowej.</w:t>
      </w:r>
    </w:p>
    <w:p>
      <w:pPr>
        <w:pStyle w:val="NoSpacing"/>
        <w:tabs>
          <w:tab w:val="clear" w:pos="720"/>
          <w:tab w:val="left" w:pos="426" w:leader="none"/>
        </w:tabs>
        <w:jc w:val="both"/>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rPr>
      </w:pPr>
      <w:r>
        <w:rPr>
          <w:rFonts w:cs="Calibri" w:cstheme="minorHAnsi"/>
        </w:rPr>
        <w:t xml:space="preserve">Instytucje kultury realizują działania kulturalne zgodne ze statutem w zakresie organizacji występów </w:t>
        <w:br/>
        <w:t xml:space="preserve">i pokazów artystycznych, konkursów i rozrywek dla dzieci i młodzieży oraz organizacji imprez mających charakter kulturalny. </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36" w:name="_Toc118887790"/>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41</w:t>
      </w:r>
      <w:r>
        <w:rPr>
          <w:b w:val="false"/>
          <w:bCs w:val="false"/>
          <w:rFonts w:cs="Calibri"/>
        </w:rPr>
        <w:fldChar w:fldCharType="end"/>
      </w:r>
      <w:r>
        <w:rPr>
          <w:rFonts w:cs="Calibri" w:cstheme="minorHAnsi"/>
          <w:b w:val="false"/>
          <w:bCs w:val="false"/>
        </w:rPr>
        <w:t xml:space="preserve"> Liczba czytelników i księgozbiór w latach 2015-2020 na terenie gminy Dwikozy</w:t>
      </w:r>
      <w:bookmarkEnd w:id="236"/>
    </w:p>
    <w:tbl>
      <w:tblPr>
        <w:tblW w:w="896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845"/>
        <w:gridCol w:w="1140"/>
        <w:gridCol w:w="1040"/>
        <w:gridCol w:w="980"/>
        <w:gridCol w:w="980"/>
        <w:gridCol w:w="979"/>
      </w:tblGrid>
      <w:tr>
        <w:trPr>
          <w:trHeight w:val="288" w:hRule="atLeast"/>
        </w:trPr>
        <w:tc>
          <w:tcPr>
            <w:tcW w:w="384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kategoria</w:t>
            </w:r>
          </w:p>
        </w:tc>
        <w:tc>
          <w:tcPr>
            <w:tcW w:w="114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2017</w:t>
            </w:r>
          </w:p>
        </w:tc>
        <w:tc>
          <w:tcPr>
            <w:tcW w:w="104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2018</w:t>
            </w:r>
          </w:p>
        </w:tc>
        <w:tc>
          <w:tcPr>
            <w:tcW w:w="98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2019</w:t>
            </w:r>
          </w:p>
        </w:tc>
        <w:tc>
          <w:tcPr>
            <w:tcW w:w="98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2020</w:t>
            </w:r>
          </w:p>
        </w:tc>
        <w:tc>
          <w:tcPr>
            <w:tcW w:w="979"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2021</w:t>
            </w:r>
          </w:p>
        </w:tc>
      </w:tr>
      <w:tr>
        <w:trPr>
          <w:trHeight w:val="420" w:hRule="atLeast"/>
        </w:trPr>
        <w:tc>
          <w:tcPr>
            <w:tcW w:w="384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księgozbiór</w:t>
            </w:r>
          </w:p>
        </w:tc>
        <w:tc>
          <w:tcPr>
            <w:tcW w:w="11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34,113</w:t>
            </w:r>
          </w:p>
        </w:tc>
        <w:tc>
          <w:tcPr>
            <w:tcW w:w="10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33,935</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33,954</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34,304</w:t>
            </w:r>
          </w:p>
        </w:tc>
        <w:tc>
          <w:tcPr>
            <w:tcW w:w="9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35,202</w:t>
            </w:r>
          </w:p>
        </w:tc>
      </w:tr>
      <w:tr>
        <w:trPr>
          <w:trHeight w:val="420" w:hRule="atLeast"/>
        </w:trPr>
        <w:tc>
          <w:tcPr>
            <w:tcW w:w="3845" w:type="dxa"/>
            <w:tcBorders>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czytelnicy w ciągu roku</w:t>
            </w:r>
          </w:p>
        </w:tc>
        <w:tc>
          <w:tcPr>
            <w:tcW w:w="114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693</w:t>
            </w:r>
          </w:p>
        </w:tc>
        <w:tc>
          <w:tcPr>
            <w:tcW w:w="104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663</w:t>
            </w:r>
          </w:p>
        </w:tc>
        <w:tc>
          <w:tcPr>
            <w:tcW w:w="98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649</w:t>
            </w:r>
          </w:p>
        </w:tc>
        <w:tc>
          <w:tcPr>
            <w:tcW w:w="980"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543</w:t>
            </w:r>
          </w:p>
        </w:tc>
        <w:tc>
          <w:tcPr>
            <w:tcW w:w="979" w:type="dxa"/>
            <w:tcBorders>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561</w:t>
            </w:r>
          </w:p>
        </w:tc>
      </w:tr>
      <w:tr>
        <w:trPr>
          <w:trHeight w:val="288" w:hRule="atLeast"/>
        </w:trPr>
        <w:tc>
          <w:tcPr>
            <w:tcW w:w="384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wypożyczenia księgozbioru na zewnątrz</w:t>
            </w:r>
          </w:p>
        </w:tc>
        <w:tc>
          <w:tcPr>
            <w:tcW w:w="11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16,190</w:t>
            </w:r>
          </w:p>
        </w:tc>
        <w:tc>
          <w:tcPr>
            <w:tcW w:w="10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15,053</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14,837</w:t>
            </w:r>
          </w:p>
        </w:tc>
        <w:tc>
          <w:tcPr>
            <w:tcW w:w="9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10,368</w:t>
            </w:r>
          </w:p>
        </w:tc>
        <w:tc>
          <w:tcPr>
            <w:tcW w:w="9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12,219</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opracowanie słane na podstawie danych GUS</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b/>
          <w:b/>
          <w:bCs/>
        </w:rPr>
      </w:pPr>
      <w:r>
        <w:rPr>
          <w:rFonts w:cs="Calibri" w:cstheme="minorHAnsi"/>
          <w:b/>
          <w:bCs/>
        </w:rPr>
        <w:t>Dostęp do infrastruktury kulturalnej w poszczególnych sołectwach</w:t>
      </w:r>
    </w:p>
    <w:p>
      <w:pPr>
        <w:pStyle w:val="NoSpacing"/>
        <w:jc w:val="both"/>
        <w:rPr>
          <w:rFonts w:ascii="Calibri" w:hAnsi="Calibri" w:cs="Calibri" w:asciiTheme="minorHAnsi" w:cstheme="minorHAnsi" w:hAnsiTheme="minorHAnsi"/>
        </w:rPr>
      </w:pPr>
      <w:r>
        <w:rPr>
          <w:rFonts w:cs="Calibri" w:cstheme="minorHAnsi"/>
        </w:rPr>
        <w:t>Dostęp do infrastruktury społeczno-kulturalnej na terenie całej gminy Dwikozy sukcesywnie się poprawia. Sytuację na koniec 2021 roku przedstawia poniższa tabela:</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37" w:name="_Toc118887791"/>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42</w:t>
      </w:r>
      <w:r>
        <w:rPr>
          <w:b w:val="false"/>
          <w:bCs w:val="false"/>
          <w:rFonts w:cs="Calibri"/>
        </w:rPr>
        <w:fldChar w:fldCharType="end"/>
      </w:r>
      <w:r>
        <w:rPr>
          <w:rFonts w:cs="Calibri" w:cstheme="minorHAnsi"/>
          <w:b w:val="false"/>
          <w:bCs w:val="false"/>
        </w:rPr>
        <w:t xml:space="preserve"> Infrastruktura społeczno-kulturalna w sołectwach na terenie gminy Dwikozy (na 31.12.2021r.)</w:t>
      </w:r>
      <w:bookmarkEnd w:id="237"/>
    </w:p>
    <w:tbl>
      <w:tblPr>
        <w:tblW w:w="900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84"/>
        <w:gridCol w:w="1903"/>
        <w:gridCol w:w="1423"/>
        <w:gridCol w:w="1541"/>
        <w:gridCol w:w="1929"/>
        <w:gridCol w:w="146"/>
        <w:gridCol w:w="1582"/>
      </w:tblGrid>
      <w:tr>
        <w:trPr>
          <w:trHeight w:val="863" w:hRule="atLeast"/>
        </w:trPr>
        <w:tc>
          <w:tcPr>
            <w:tcW w:w="484"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eastAsia="pl-PL"/>
              </w:rPr>
            </w:pPr>
            <w:bookmarkStart w:id="238" w:name="_Hlk118562002"/>
            <w:bookmarkEnd w:id="238"/>
            <w:r>
              <w:rPr>
                <w:rFonts w:eastAsia="Times New Roman" w:cs="Calibri" w:cstheme="minorHAnsi"/>
                <w:b/>
                <w:bCs/>
                <w:color w:val="000000"/>
                <w:sz w:val="20"/>
                <w:szCs w:val="20"/>
                <w:lang w:eastAsia="pl-PL"/>
              </w:rPr>
              <w:t>L.p.</w:t>
            </w:r>
          </w:p>
        </w:tc>
        <w:tc>
          <w:tcPr>
            <w:tcW w:w="1903"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eastAsia="pl-PL"/>
              </w:rPr>
            </w:pPr>
            <w:r>
              <w:rPr>
                <w:rFonts w:eastAsia="Times New Roman" w:cs="Calibri" w:cstheme="minorHAnsi"/>
                <w:b/>
                <w:bCs/>
                <w:color w:val="000000"/>
                <w:sz w:val="20"/>
                <w:szCs w:val="20"/>
                <w:lang w:eastAsia="pl-PL"/>
              </w:rPr>
              <w:t>Sołectwo</w:t>
            </w:r>
          </w:p>
        </w:tc>
        <w:tc>
          <w:tcPr>
            <w:tcW w:w="1423"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eastAsia="pl-PL"/>
              </w:rPr>
            </w:pPr>
            <w:r>
              <w:rPr>
                <w:rFonts w:eastAsia="Times New Roman" w:cs="Calibri" w:cstheme="minorHAnsi"/>
                <w:b/>
                <w:bCs/>
                <w:color w:val="000000"/>
                <w:sz w:val="20"/>
                <w:szCs w:val="20"/>
                <w:lang w:eastAsia="pl-PL"/>
              </w:rPr>
              <w:t>Budynek Strażnicy OSP</w:t>
            </w:r>
          </w:p>
        </w:tc>
        <w:tc>
          <w:tcPr>
            <w:tcW w:w="154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eastAsia="pl-PL"/>
              </w:rPr>
            </w:pPr>
            <w:r>
              <w:rPr>
                <w:rFonts w:eastAsia="Times New Roman" w:cs="Calibri" w:cstheme="minorHAnsi"/>
                <w:b/>
                <w:bCs/>
                <w:color w:val="000000"/>
                <w:sz w:val="20"/>
                <w:szCs w:val="20"/>
                <w:lang w:eastAsia="pl-PL"/>
              </w:rPr>
              <w:t>Budynek świetlicy</w:t>
            </w:r>
          </w:p>
        </w:tc>
        <w:tc>
          <w:tcPr>
            <w:tcW w:w="192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eastAsia="pl-PL"/>
              </w:rPr>
            </w:pPr>
            <w:r>
              <w:rPr>
                <w:rFonts w:eastAsia="Times New Roman" w:cs="Calibri" w:cstheme="minorHAnsi"/>
                <w:b/>
                <w:bCs/>
                <w:color w:val="000000"/>
                <w:sz w:val="20"/>
                <w:szCs w:val="20"/>
                <w:lang w:eastAsia="pl-PL"/>
              </w:rPr>
              <w:t>Jeden budynek stanowiący strażnicę osp i świetlicę</w:t>
            </w:r>
          </w:p>
        </w:tc>
        <w:tc>
          <w:tcPr>
            <w:tcW w:w="146" w:type="dxa"/>
            <w:tcBorders>
              <w:top w:val="single" w:sz="4" w:space="0" w:color="000000"/>
              <w:bottom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b/>
                <w:b/>
                <w:bCs/>
                <w:color w:val="000000"/>
                <w:sz w:val="20"/>
                <w:szCs w:val="20"/>
                <w:lang w:eastAsia="pl-PL"/>
              </w:rPr>
            </w:pPr>
            <w:r>
              <w:rPr>
                <w:rFonts w:eastAsia="Times New Roman" w:cs="Calibri" w:cstheme="minorHAnsi"/>
                <w:b/>
                <w:bCs/>
                <w:color w:val="000000"/>
                <w:sz w:val="20"/>
                <w:szCs w:val="20"/>
                <w:lang w:eastAsia="pl-PL"/>
              </w:rPr>
            </w:r>
          </w:p>
        </w:tc>
        <w:tc>
          <w:tcPr>
            <w:tcW w:w="158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sz w:val="20"/>
                <w:szCs w:val="20"/>
                <w:lang w:eastAsia="pl-PL"/>
              </w:rPr>
            </w:pPr>
            <w:r>
              <w:rPr>
                <w:rFonts w:eastAsia="Times New Roman" w:cs="Calibri" w:cstheme="minorHAnsi"/>
                <w:b/>
                <w:bCs/>
                <w:color w:val="000000"/>
                <w:sz w:val="20"/>
                <w:szCs w:val="20"/>
                <w:lang w:eastAsia="pl-PL"/>
              </w:rPr>
              <w:t>Sołectwo nie posiada tego typu budynków</w:t>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Dwikozy</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Bożydar</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3.</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Buczek</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(w trakcie budowy)</w:t>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4.</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Czermin</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5.</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Gałkowice</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6.</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Gierlachów</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 </w:t>
            </w:r>
            <w:r>
              <w:rPr>
                <w:rFonts w:eastAsia="Times New Roman" w:cs="Calibri" w:cstheme="minorHAnsi"/>
                <w:color w:val="000000"/>
                <w:lang w:eastAsia="pl-PL"/>
              </w:rPr>
              <w:t>(w trakcie budowy)</w:t>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7.</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Góry Wysokie</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8.</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Kamień Łukawski</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9.</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Kępa Chwałowska</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10.</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Kolonia Gałkowice</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11.</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Mściów</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12.</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Nowe Kichary</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13.</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Nowy Garbów</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14.</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Nowy Kamień</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15.</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Romanówka</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w tym Jaroszówka</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16.</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Rzeczyca Mokra</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17.</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Rzeczyca Sucha</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18.</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Słupcza</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19.</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Stare Kichary</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20.</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Stary Garbów</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21.</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Szczytniki</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22.</w:t>
            </w:r>
          </w:p>
        </w:tc>
        <w:tc>
          <w:tcPr>
            <w:tcW w:w="190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Winiarki</w:t>
            </w:r>
          </w:p>
        </w:tc>
        <w:tc>
          <w:tcPr>
            <w:tcW w:w="14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5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9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46" w:type="dxa"/>
            <w:tcBorders>
              <w:bottom w:val="single" w:sz="4" w:space="0" w:color="000000"/>
            </w:tcBorders>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r>
      <w:tr>
        <w:trPr>
          <w:trHeight w:val="309" w:hRule="atLeast"/>
        </w:trPr>
        <w:tc>
          <w:tcPr>
            <w:tcW w:w="484"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23.</w:t>
            </w:r>
          </w:p>
        </w:tc>
        <w:tc>
          <w:tcPr>
            <w:tcW w:w="190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Winiary</w:t>
            </w:r>
          </w:p>
        </w:tc>
        <w:tc>
          <w:tcPr>
            <w:tcW w:w="1423"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5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p>
        </w:tc>
        <w:tc>
          <w:tcPr>
            <w:tcW w:w="192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t>TAK</w:t>
            </w:r>
          </w:p>
        </w:tc>
        <w:tc>
          <w:tcPr>
            <w:tcW w:w="146" w:type="dxa"/>
            <w:tcBorders>
              <w:bottom w:val="single" w:sz="4" w:space="0" w:color="000000"/>
            </w:tcBorders>
            <w:shd w:color="auto" w:fill="E2EFD9" w:themeFill="accent6" w:themeFillTint="33" w:val="clear"/>
          </w:tcPr>
          <w:p>
            <w:pPr>
              <w:pStyle w:val="Normal"/>
              <w:widowControl w:val="false"/>
              <w:spacing w:lineRule="auto" w:line="240" w:before="0" w:after="0"/>
              <w:jc w:val="center"/>
              <w:rPr>
                <w:rFonts w:eastAsia="Times New Roman" w:cs="Calibri" w:cstheme="minorHAnsi"/>
                <w:color w:val="000000"/>
                <w:lang w:eastAsia="pl-PL"/>
              </w:rPr>
            </w:pPr>
            <w:r>
              <w:rPr>
                <w:rFonts w:eastAsia="Times New Roman" w:cs="Calibri" w:cstheme="minorHAnsi"/>
                <w:color w:val="000000"/>
                <w:lang w:eastAsia="pl-PL"/>
              </w:rPr>
            </w:r>
          </w:p>
        </w:tc>
        <w:tc>
          <w:tcPr>
            <w:tcW w:w="1582"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eastAsia="pl-PL"/>
              </w:rPr>
            </w:pPr>
            <w:r>
              <w:rPr/>
            </w:r>
            <w:bookmarkStart w:id="239" w:name="_Hlk118562002"/>
            <w:bookmarkStart w:id="240" w:name="_Hlk118562002"/>
            <w:bookmarkEnd w:id="240"/>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dane Urzędu Gminy w Dwikozach</w:t>
      </w:r>
    </w:p>
    <w:p>
      <w:pPr>
        <w:pStyle w:val="NoSpacing"/>
        <w:jc w:val="center"/>
        <w:rPr>
          <w:rFonts w:ascii="Calibri" w:hAnsi="Calibri" w:cs="Calibri" w:asciiTheme="minorHAnsi" w:cstheme="minorHAnsi" w:hAnsiTheme="minorHAnsi"/>
          <w:highlight w:val="yellow"/>
        </w:rPr>
      </w:pPr>
      <w:r>
        <w:rPr>
          <w:rFonts w:cs="Calibri" w:cstheme="minorHAnsi"/>
          <w:highlight w:val="yellow"/>
        </w:rPr>
      </w:r>
    </w:p>
    <w:p>
      <w:pPr>
        <w:pStyle w:val="NoSpacing"/>
        <w:jc w:val="both"/>
        <w:rPr>
          <w:rFonts w:ascii="Calibri" w:hAnsi="Calibri" w:cs="Calibri" w:asciiTheme="minorHAnsi" w:cstheme="minorHAnsi" w:hAnsiTheme="minorHAnsi"/>
        </w:rPr>
      </w:pPr>
      <w:r>
        <w:rPr>
          <w:rFonts w:cs="Calibri" w:cstheme="minorHAnsi"/>
        </w:rPr>
        <w:t>Jak wynika z powyższej tabeli Gmina posiada:</w:t>
      </w:r>
    </w:p>
    <w:p>
      <w:pPr>
        <w:pStyle w:val="NoSpacing"/>
        <w:numPr>
          <w:ilvl w:val="1"/>
          <w:numId w:val="34"/>
        </w:numPr>
        <w:jc w:val="both"/>
        <w:rPr>
          <w:rFonts w:ascii="Calibri" w:hAnsi="Calibri" w:cs="Calibri" w:asciiTheme="minorHAnsi" w:cstheme="minorHAnsi" w:hAnsiTheme="minorHAnsi"/>
        </w:rPr>
      </w:pPr>
      <w:r>
        <w:rPr>
          <w:rFonts w:cs="Calibri" w:cstheme="minorHAnsi"/>
        </w:rPr>
        <w:t>3 samodzielne budynki strażnic OSP w: Nowych Kicharach, Nowym Garbowie i Winiarkach,</w:t>
      </w:r>
    </w:p>
    <w:p>
      <w:pPr>
        <w:pStyle w:val="NoSpacing"/>
        <w:numPr>
          <w:ilvl w:val="1"/>
          <w:numId w:val="34"/>
        </w:numPr>
        <w:jc w:val="both"/>
        <w:rPr>
          <w:rFonts w:ascii="Calibri" w:hAnsi="Calibri" w:cs="Calibri" w:asciiTheme="minorHAnsi" w:cstheme="minorHAnsi" w:hAnsiTheme="minorHAnsi"/>
        </w:rPr>
      </w:pPr>
      <w:r>
        <w:rPr>
          <w:rFonts w:cs="Calibri" w:cstheme="minorHAnsi"/>
        </w:rPr>
        <w:t>w 8 sołectwach są świetlice stanowiące oddzielne budynki: Bożydar, Czermin, Góry Wysokie, Nowe Kichary, Rzeczyca Mokra, Stare Kichary, Stary Garbów, Winiarki,</w:t>
      </w:r>
    </w:p>
    <w:p>
      <w:pPr>
        <w:pStyle w:val="NoSpacing"/>
        <w:numPr>
          <w:ilvl w:val="1"/>
          <w:numId w:val="34"/>
        </w:numPr>
        <w:jc w:val="both"/>
        <w:rPr>
          <w:rFonts w:ascii="Calibri" w:hAnsi="Calibri" w:cs="Calibri" w:asciiTheme="minorHAnsi" w:cstheme="minorHAnsi" w:hAnsiTheme="minorHAnsi"/>
        </w:rPr>
      </w:pPr>
      <w:r>
        <w:rPr>
          <w:rFonts w:cs="Calibri" w:cstheme="minorHAnsi"/>
        </w:rPr>
        <w:t>w 8 sołectwach świetlica i remiza stanowią jeden budynek (Dwikozy, Gałkowice, Mściów, Nowy Kamień, Romanówka, Słupcza, Szczytniki, Winiary),</w:t>
      </w:r>
    </w:p>
    <w:p>
      <w:pPr>
        <w:pStyle w:val="NoSpacing"/>
        <w:numPr>
          <w:ilvl w:val="1"/>
          <w:numId w:val="34"/>
        </w:numPr>
        <w:jc w:val="both"/>
        <w:rPr>
          <w:rFonts w:ascii="Calibri" w:hAnsi="Calibri" w:cs="Calibri" w:asciiTheme="minorHAnsi" w:cstheme="minorHAnsi" w:hAnsiTheme="minorHAnsi"/>
        </w:rPr>
      </w:pPr>
      <w:r>
        <w:rPr>
          <w:rFonts w:cs="Calibri" w:cstheme="minorHAnsi"/>
        </w:rPr>
        <w:t>rozpoczęto budowę 2 świetlic – w Buczku oraz Gierlachowie,</w:t>
      </w:r>
    </w:p>
    <w:p>
      <w:pPr>
        <w:pStyle w:val="NoSpacing"/>
        <w:jc w:val="both"/>
        <w:rPr>
          <w:rFonts w:ascii="Calibri" w:hAnsi="Calibri" w:cs="Calibri" w:asciiTheme="minorHAnsi" w:cstheme="minorHAnsi" w:hAnsiTheme="minorHAnsi"/>
        </w:rPr>
      </w:pPr>
      <w:r>
        <w:rPr>
          <w:rFonts w:cs="Calibri" w:cstheme="minorHAnsi"/>
        </w:rPr>
        <w:t>Na koniec 2021 r. jedynie 6 sołectw nie posiadało tego typu obiektów.</w:t>
      </w:r>
    </w:p>
    <w:p>
      <w:pPr>
        <w:pStyle w:val="Normal"/>
        <w:spacing w:lineRule="auto" w:line="240" w:before="0" w:after="0"/>
        <w:jc w:val="both"/>
        <w:rPr>
          <w:rFonts w:eastAsia="Calibri" w:cs="Calibri" w:cstheme="minorHAnsi"/>
        </w:rPr>
      </w:pPr>
      <w:r>
        <w:rPr>
          <w:rFonts w:eastAsia="Calibri" w:cs="Calibri" w:cstheme="minorHAnsi"/>
        </w:rPr>
      </w:r>
      <w:bookmarkStart w:id="241" w:name="_Toc470681254"/>
      <w:bookmarkStart w:id="242" w:name="_Toc470681254"/>
      <w:bookmarkEnd w:id="242"/>
    </w:p>
    <w:p>
      <w:pPr>
        <w:pStyle w:val="NoSpacing"/>
        <w:jc w:val="both"/>
        <w:rPr>
          <w:rFonts w:cs="Calibri" w:cstheme="minorHAnsi"/>
        </w:rPr>
      </w:pPr>
      <w:r>
        <w:rPr>
          <w:rFonts w:cs="Calibri" w:cstheme="minorHAnsi"/>
        </w:rPr>
        <w:t>Zdiagnozowane potrzeby mające na celu z</w:t>
      </w:r>
      <w:r>
        <w:rPr/>
        <w:t xml:space="preserve">większenie poczucia tożsamości lokalnej wśród mieszkańców: </w:t>
      </w:r>
    </w:p>
    <w:p>
      <w:pPr>
        <w:pStyle w:val="Normal"/>
        <w:spacing w:lineRule="auto" w:line="240" w:before="0" w:after="0"/>
        <w:rPr>
          <w:rFonts w:ascii="Calibri" w:hAnsi="Calibri" w:eastAsia="Calibri" w:cs="Calibri"/>
        </w:rPr>
      </w:pPr>
      <w:r>
        <w:rPr>
          <w:rFonts w:eastAsia="Calibri" w:cs="Calibri"/>
        </w:rPr>
        <w:t>1 Wspieranie inicjatyw lokalnych poprawiających jakość życia.</w:t>
      </w:r>
    </w:p>
    <w:p>
      <w:pPr>
        <w:pStyle w:val="Normal"/>
        <w:spacing w:lineRule="auto" w:line="240" w:before="0" w:after="0"/>
        <w:jc w:val="both"/>
        <w:rPr>
          <w:rFonts w:ascii="Calibri" w:hAnsi="Calibri" w:eastAsia="Calibri" w:cs="Calibri"/>
        </w:rPr>
      </w:pPr>
      <w:r>
        <w:rPr>
          <w:rFonts w:eastAsia="Calibri" w:cs="Calibri"/>
        </w:rPr>
        <w:t>2 Wspieranie m.in. Kół Gospodyń Wiejskich i Ochotniczych Straży Pożarnych – jako organizacji przyczyniających się do kultywowania tożsamości lokalnej mieszkańców.</w:t>
      </w:r>
    </w:p>
    <w:p>
      <w:pPr>
        <w:pStyle w:val="Normal"/>
        <w:spacing w:lineRule="auto" w:line="240" w:before="0" w:after="0"/>
        <w:rPr>
          <w:rFonts w:ascii="Calibri" w:hAnsi="Calibri" w:eastAsia="Calibri" w:cs="Calibri"/>
        </w:rPr>
      </w:pPr>
      <w:r>
        <w:rPr>
          <w:rFonts w:eastAsia="Calibri" w:cs="Calibri"/>
        </w:rPr>
        <w:t xml:space="preserve">3 Organizacja uroczystości patriotycznych. </w:t>
      </w:r>
    </w:p>
    <w:p>
      <w:pPr>
        <w:pStyle w:val="Normal"/>
        <w:spacing w:lineRule="auto" w:line="240" w:before="0" w:after="0"/>
        <w:rPr>
          <w:rFonts w:ascii="Calibri" w:hAnsi="Calibri" w:eastAsia="Calibri" w:cs="Calibri"/>
        </w:rPr>
      </w:pPr>
      <w:r>
        <w:rPr>
          <w:rFonts w:eastAsia="Calibri" w:cs="Calibri"/>
        </w:rPr>
        <w:t>4 Dbanie o miejsca pamięci, krzyże przydrożne i inne elementy kultury materialnej i niematerialnej.</w:t>
      </w:r>
    </w:p>
    <w:p>
      <w:pPr>
        <w:pStyle w:val="Normal"/>
        <w:spacing w:lineRule="auto" w:line="240" w:before="0" w:after="0"/>
        <w:rPr>
          <w:rFonts w:ascii="Calibri" w:hAnsi="Calibri" w:eastAsia="Calibri" w:cs="Calibri"/>
        </w:rPr>
      </w:pPr>
      <w:r>
        <w:rPr>
          <w:rFonts w:eastAsia="Calibri" w:cs="Calibri"/>
        </w:rPr>
        <w:t>5 Rozwijanie patriotyzmu do ojczyzny (w szczególności wśród dzieci i młodzieży).</w:t>
      </w:r>
    </w:p>
    <w:p>
      <w:pPr>
        <w:pStyle w:val="Normal"/>
        <w:spacing w:lineRule="auto" w:line="240" w:before="0" w:after="0"/>
        <w:rPr>
          <w:rFonts w:ascii="Calibri" w:hAnsi="Calibri" w:eastAsia="Times New Roman" w:cs="Calibri"/>
          <w:lang w:eastAsia="pl-PL"/>
        </w:rPr>
      </w:pPr>
      <w:r>
        <w:rPr>
          <w:rFonts w:eastAsia="Calibri" w:cs="Calibri"/>
        </w:rPr>
        <w:t>6 S</w:t>
      </w:r>
      <w:r>
        <w:rPr>
          <w:rFonts w:eastAsia="Times New Roman" w:cs="Calibri"/>
          <w:lang w:eastAsia="pl-PL"/>
        </w:rPr>
        <w:t>tworzenie Izby Historii Lokalnej.</w:t>
      </w:r>
    </w:p>
    <w:p>
      <w:pPr>
        <w:pStyle w:val="Normal"/>
        <w:spacing w:lineRule="auto" w:line="240" w:before="0" w:after="0"/>
        <w:jc w:val="both"/>
        <w:rPr>
          <w:rFonts w:eastAsia="Calibri" w:cs="Calibri" w:cstheme="minorHAnsi"/>
          <w:highlight w:val="yellow"/>
        </w:rPr>
      </w:pPr>
      <w:r>
        <w:rPr>
          <w:rFonts w:eastAsia="Times New Roman" w:cs="Calibri"/>
          <w:color w:val="000000"/>
          <w:lang w:eastAsia="pl-PL"/>
        </w:rPr>
        <w:t>7 Organizacja lokalnych i ponadlokalnych imprez kulturalnych, turystycznych, sportowych.</w:t>
      </w:r>
    </w:p>
    <w:p>
      <w:pPr>
        <w:pStyle w:val="Normal"/>
        <w:spacing w:lineRule="auto" w:line="240" w:before="0" w:after="0"/>
        <w:jc w:val="both"/>
        <w:rPr>
          <w:rFonts w:eastAsia="Calibri" w:cs="Calibri" w:cstheme="minorHAnsi"/>
          <w:highlight w:val="yellow"/>
        </w:rPr>
      </w:pPr>
      <w:r>
        <w:rPr>
          <w:rFonts w:eastAsia="Calibri" w:cs="Calibri" w:cstheme="minorHAnsi"/>
          <w:highlight w:val="yellow"/>
        </w:rPr>
      </w:r>
      <w:bookmarkStart w:id="243" w:name="_Toc470681254"/>
      <w:bookmarkStart w:id="244" w:name="_Toc470681254"/>
      <w:bookmarkEnd w:id="244"/>
    </w:p>
    <w:p>
      <w:pPr>
        <w:pStyle w:val="NoSpacing"/>
        <w:jc w:val="both"/>
        <w:rPr>
          <w:rFonts w:ascii="Calibri" w:hAnsi="Calibri" w:cs="Calibri" w:asciiTheme="minorHAnsi" w:cstheme="minorHAnsi" w:hAnsiTheme="minorHAnsi"/>
          <w:b/>
          <w:b/>
          <w:bCs/>
        </w:rPr>
      </w:pPr>
      <w:r>
        <w:rPr>
          <w:rFonts w:cs="Calibri" w:cstheme="minorHAnsi"/>
          <w:b/>
          <w:bCs/>
        </w:rPr>
        <w:t>ORGANIZACJE SPOŁECZNE</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Obecnie na terenie Gminy Dwikozy funkcjonuje</w:t>
      </w:r>
      <w:r>
        <w:rPr>
          <w:rFonts w:eastAsia="Times New Roman" w:cs="Calibri" w:cstheme="minorHAnsi"/>
          <w:b/>
          <w:color w:val="000000"/>
          <w:lang w:eastAsia="zh-CN"/>
        </w:rPr>
        <w:t xml:space="preserve"> 43 organizacje społeczne </w:t>
      </w:r>
      <w:r>
        <w:rPr>
          <w:rFonts w:eastAsia="Times New Roman" w:cs="Calibri" w:cstheme="minorHAnsi"/>
          <w:color w:val="000000"/>
          <w:lang w:eastAsia="zh-CN"/>
        </w:rPr>
        <w:t>(pozarządowe/</w:t>
        <w:br/>
        <w:t xml:space="preserve">zorganizowane grupy nieformalne). Inicjatywy podejmowane przez mieszkańców w ramach stowarzyszeń świadczą o dużym potencjale kapitału ludzkiego. Mieszkańcy gminy angażują się </w:t>
        <w:br/>
        <w:t xml:space="preserve">w wiele inicjatyw społecznych, czego wyrazem jest działalność Ochotniczych Straży Pożarnych (aż 5 KSRG) czy stowarzyszeń prowadzących szkoły na terenie gminy. </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b/>
          <w:b/>
          <w:bCs/>
          <w:color w:val="000000"/>
          <w:lang w:eastAsia="zh-CN"/>
        </w:rPr>
      </w:pPr>
      <w:r>
        <w:rPr>
          <w:rFonts w:eastAsia="Times New Roman" w:cs="Calibri" w:cstheme="minorHAnsi"/>
          <w:b/>
          <w:bCs/>
          <w:color w:val="000000"/>
          <w:lang w:eastAsia="zh-CN"/>
        </w:rPr>
        <w:t>Stowarzyszenia edukacyjne</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na Rzecz Ekorozwoju Wsi Góry Wysokie,</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na Rzecz Ekorozwoju Wsi Winiarki, Winiary, Kępa Chwałowska,</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 xml:space="preserve">Stowarzyszenie Oświatowo - Kulturalne przy Szkole Podstawowej im. Jana Pawła II </w:t>
        <w:br/>
        <w:t>w Mściowie,</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Przyjaciół Przedszkola i Szkoły w Gierlachowie k. Sandomierza,</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Przyjaciół Szkoły im. Wincentego Burka w Gałkowicach k. Sandomierza,</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Inwestujemy w Przyszłość przy Szkole Podstawowej w Słupczy,</w:t>
      </w:r>
    </w:p>
    <w:p>
      <w:pPr>
        <w:pStyle w:val="ListParagraph"/>
        <w:numPr>
          <w:ilvl w:val="0"/>
          <w:numId w:val="35"/>
        </w:numPr>
        <w:tabs>
          <w:tab w:val="clear" w:pos="720"/>
          <w:tab w:val="center" w:pos="540" w:leader="none"/>
        </w:tabs>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Edukacyjne Imienia Zawiszy Czarnego.</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b/>
          <w:b/>
          <w:bCs/>
          <w:lang w:eastAsia="zh-CN"/>
        </w:rPr>
      </w:pPr>
      <w:r>
        <w:rPr>
          <w:rFonts w:eastAsia="Times New Roman" w:cs="Calibri" w:cstheme="minorHAnsi"/>
          <w:b/>
          <w:bCs/>
          <w:lang w:eastAsia="zh-CN"/>
        </w:rPr>
        <w:t>Stowarzyszenia i organizacje wspierające rolnictwo:</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"Ekosan" w Dwikozach,</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Świętokrzyskie Stowarzyszenie Rozwoju Regionu i Hodowli Strusi,</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Kółko Rolnicze w Dwikozach,</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Kółko Rolnicze w Bożydarze,</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Kółko Rolnicze w Słupczy,</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Gminny Związek Rolników, Kółek i Organizacji Rolniczych w Dwikozach,</w:t>
      </w:r>
    </w:p>
    <w:p>
      <w:pPr>
        <w:pStyle w:val="ListParagraph"/>
        <w:numPr>
          <w:ilvl w:val="1"/>
          <w:numId w:val="36"/>
        </w:numPr>
        <w:suppressAutoHyphens w:val="true"/>
        <w:spacing w:lineRule="auto" w:line="240" w:before="0" w:after="0"/>
        <w:ind w:left="630" w:hanging="36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Kółko Rolnicze w Garbowie.</w:t>
      </w:r>
    </w:p>
    <w:p>
      <w:pPr>
        <w:pStyle w:val="ListParagraph"/>
        <w:suppressAutoHyphens w:val="true"/>
        <w:spacing w:lineRule="auto" w:line="240" w:before="0" w:after="0"/>
        <w:ind w:left="630" w:hanging="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b/>
          <w:b/>
          <w:bCs/>
          <w:color w:val="000000"/>
          <w:lang w:eastAsia="zh-CN"/>
        </w:rPr>
      </w:pPr>
      <w:r>
        <w:rPr>
          <w:rFonts w:eastAsia="Times New Roman" w:cs="Calibri" w:cstheme="minorHAnsi"/>
          <w:b/>
          <w:bCs/>
          <w:color w:val="000000"/>
          <w:lang w:eastAsia="zh-CN"/>
        </w:rPr>
        <w:t>Stowarzyszenie sportowe:</w:t>
      </w:r>
    </w:p>
    <w:p>
      <w:pPr>
        <w:pStyle w:val="ListParagraph"/>
        <w:numPr>
          <w:ilvl w:val="0"/>
          <w:numId w:val="37"/>
        </w:numPr>
        <w:suppressAutoHyphens w:val="true"/>
        <w:spacing w:lineRule="auto" w:line="240" w:before="0" w:after="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Klub Sportowy „Sparta” Dwikozy,</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b/>
          <w:bCs/>
          <w:color w:val="000000"/>
          <w:lang w:eastAsia="zh-CN"/>
        </w:rPr>
        <w:t>Stowarzyszenie wspierające seniorów</w:t>
      </w:r>
      <w:r>
        <w:rPr>
          <w:rFonts w:eastAsia="Times New Roman" w:cs="Calibri" w:cstheme="minorHAnsi"/>
          <w:color w:val="000000"/>
          <w:lang w:eastAsia="zh-CN"/>
        </w:rPr>
        <w:t>:</w:t>
      </w:r>
    </w:p>
    <w:p>
      <w:pPr>
        <w:pStyle w:val="ListParagraph"/>
        <w:numPr>
          <w:ilvl w:val="0"/>
          <w:numId w:val="37"/>
        </w:numPr>
        <w:suppressAutoHyphens w:val="true"/>
        <w:spacing w:lineRule="auto" w:line="240" w:before="0" w:after="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Stowarzyszenie  „Klub Seniora” w Nowym Kamieniu,</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b/>
          <w:b/>
          <w:bCs/>
          <w:color w:val="000000"/>
          <w:lang w:eastAsia="zh-CN"/>
        </w:rPr>
      </w:pPr>
      <w:r>
        <w:rPr>
          <w:rFonts w:eastAsia="Times New Roman" w:cs="Calibri" w:cstheme="minorHAnsi"/>
          <w:b/>
          <w:bCs/>
          <w:color w:val="000000"/>
          <w:lang w:eastAsia="zh-CN"/>
        </w:rPr>
        <w:t>Ochotnicze Straże Pożarne</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bookmarkStart w:id="245" w:name="_Hlk118733049"/>
      <w:r>
        <w:rPr>
          <w:rFonts w:eastAsia="Times New Roman" w:cs="Calibri" w:cstheme="minorHAnsi"/>
          <w:color w:val="000000"/>
          <w:lang w:eastAsia="zh-CN"/>
        </w:rPr>
        <w:t>Ochotnicza Straż Pożarna w Gałkowicach,</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Szczytnikach,</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Winiarach,</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Słupczy,</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Winiarkach,</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Dwikozach,</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Mściów - Nowy Kamień,</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Nowych Kicharach,</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Garbowie z siedzibą w Starym Garbowie,</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r>
        <w:rPr>
          <w:rFonts w:eastAsia="Times New Roman" w:cs="Calibri" w:cstheme="minorHAnsi"/>
          <w:color w:val="000000"/>
          <w:lang w:eastAsia="zh-CN"/>
        </w:rPr>
        <w:t>Ochotnicza Straż Pożarna w Romanówce</w:t>
      </w:r>
    </w:p>
    <w:p>
      <w:pPr>
        <w:pStyle w:val="ListParagraph"/>
        <w:numPr>
          <w:ilvl w:val="1"/>
          <w:numId w:val="38"/>
        </w:numPr>
        <w:suppressAutoHyphens w:val="true"/>
        <w:spacing w:lineRule="auto" w:line="240" w:before="0" w:after="0"/>
        <w:ind w:left="540" w:hanging="270"/>
        <w:jc w:val="both"/>
        <w:textAlignment w:val="baseline"/>
        <w:rPr>
          <w:rFonts w:ascii="Calibri" w:hAnsi="Calibri" w:eastAsia="Times New Roman" w:cs="Calibri" w:asciiTheme="minorHAnsi" w:cstheme="minorHAnsi" w:hAnsiTheme="minorHAnsi"/>
          <w:color w:val="000000"/>
          <w:lang w:eastAsia="zh-CN"/>
        </w:rPr>
      </w:pPr>
      <w:bookmarkStart w:id="246" w:name="_Hlk118733049"/>
      <w:r>
        <w:rPr>
          <w:rFonts w:eastAsia="Times New Roman" w:cs="Calibri" w:cstheme="minorHAnsi"/>
          <w:color w:val="000000"/>
          <w:lang w:eastAsia="zh-CN"/>
        </w:rPr>
        <w:t>Ochotnicza Straż Pożarna w Gierlachowie</w:t>
      </w:r>
      <w:bookmarkEnd w:id="246"/>
    </w:p>
    <w:p>
      <w:pPr>
        <w:pStyle w:val="Normal"/>
        <w:suppressAutoHyphens w:val="true"/>
        <w:spacing w:lineRule="auto" w:line="240" w:before="0" w:after="0"/>
        <w:jc w:val="both"/>
        <w:textAlignment w:val="baseline"/>
        <w:rPr>
          <w:rFonts w:eastAsia="Times New Roman" w:cs="Calibri" w:cstheme="minorHAnsi"/>
          <w:b/>
          <w:b/>
          <w:bCs/>
          <w:color w:val="000000"/>
          <w:lang w:eastAsia="zh-CN"/>
        </w:rPr>
      </w:pPr>
      <w:r>
        <w:rPr>
          <w:rFonts w:eastAsia="Times New Roman" w:cs="Calibri" w:cstheme="minorHAnsi"/>
          <w:b/>
          <w:bCs/>
          <w:color w:val="000000"/>
          <w:lang w:eastAsia="zh-CN"/>
        </w:rPr>
      </w:r>
    </w:p>
    <w:p>
      <w:pPr>
        <w:pStyle w:val="Normal"/>
        <w:suppressAutoHyphens w:val="true"/>
        <w:spacing w:lineRule="auto" w:line="240" w:before="0" w:after="0"/>
        <w:jc w:val="both"/>
        <w:textAlignment w:val="baseline"/>
        <w:rPr>
          <w:rFonts w:eastAsia="Times New Roman" w:cs="Calibri" w:cstheme="minorHAnsi"/>
          <w:b/>
          <w:b/>
          <w:bCs/>
          <w:color w:val="000000"/>
          <w:lang w:eastAsia="zh-CN"/>
        </w:rPr>
      </w:pPr>
      <w:r>
        <w:rPr>
          <w:rFonts w:eastAsia="Times New Roman" w:cs="Calibri" w:cstheme="minorHAnsi"/>
          <w:b/>
          <w:bCs/>
          <w:color w:val="000000"/>
          <w:lang w:eastAsia="zh-CN"/>
        </w:rPr>
        <w:t>Koła Gospodyń Wiejskich</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bookmarkStart w:id="247" w:name="_Hlk118733160"/>
      <w:r>
        <w:rPr>
          <w:rFonts w:eastAsia="Times New Roman" w:cs="Calibri" w:cstheme="minorHAnsi"/>
          <w:color w:val="000000"/>
          <w:lang w:eastAsia="zh-CN"/>
        </w:rPr>
        <w:t>Koło Gospodyń Wiejskich w Dwikozach „Ziemia Dwikoska”,</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w Górach Wysokich „Pod Lasem”,</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Bożydar,</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„Kukułki” Rzeczyca Mokra,</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Nowy Kamień,</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w Szczytnikach,</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w Mściowie,</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w Gierlachowie,</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Koło Gospodyń Wiejskich w Winiarkach „Malwa”,</w:t>
      </w:r>
    </w:p>
    <w:p>
      <w:pPr>
        <w:pStyle w:val="ListParagraph"/>
        <w:numPr>
          <w:ilvl w:val="0"/>
          <w:numId w:val="48"/>
        </w:numPr>
        <w:suppressAutoHyphens w:val="true"/>
        <w:spacing w:lineRule="auto" w:line="240" w:before="0" w:after="0"/>
        <w:jc w:val="both"/>
        <w:textAlignment w:val="baseline"/>
        <w:rPr>
          <w:rFonts w:eastAsia="Times New Roman" w:cs="Calibri" w:cstheme="minorHAnsi"/>
          <w:color w:val="000000"/>
          <w:lang w:eastAsia="zh-CN"/>
        </w:rPr>
      </w:pPr>
      <w:bookmarkStart w:id="248" w:name="_Hlk118733160"/>
      <w:r>
        <w:rPr>
          <w:rFonts w:eastAsia="Times New Roman" w:cs="Calibri" w:cstheme="minorHAnsi"/>
          <w:color w:val="000000"/>
          <w:lang w:eastAsia="zh-CN"/>
        </w:rPr>
        <w:t>Koło Gospodyń Wiejskich w Czerminie.</w:t>
      </w:r>
      <w:bookmarkEnd w:id="248"/>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b/>
          <w:b/>
          <w:bCs/>
          <w:color w:val="000000"/>
          <w:lang w:eastAsia="zh-CN"/>
        </w:rPr>
      </w:pPr>
      <w:r>
        <w:rPr>
          <w:rFonts w:eastAsia="Times New Roman" w:cs="Calibri" w:cstheme="minorHAnsi"/>
          <w:b/>
          <w:bCs/>
          <w:color w:val="000000"/>
          <w:lang w:eastAsia="zh-CN"/>
        </w:rPr>
        <w:t>Pozostałe stowarzyszenia:</w:t>
      </w:r>
    </w:p>
    <w:p>
      <w:pPr>
        <w:pStyle w:val="ListParagraph"/>
        <w:numPr>
          <w:ilvl w:val="0"/>
          <w:numId w:val="49"/>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Stowarzyszenie na rzecz Bezpieczeństwa, Przeciwdziałania Patologiom Społecznym i Pomocy Ofiarom Przestępstw w Gminie Dwikozy „Zawisza”,</w:t>
      </w:r>
    </w:p>
    <w:p>
      <w:pPr>
        <w:pStyle w:val="ListParagraph"/>
        <w:numPr>
          <w:ilvl w:val="0"/>
          <w:numId w:val="49"/>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Stowarzyszenie Świat Wiedzy i Techniki „Świt”,</w:t>
      </w:r>
    </w:p>
    <w:p>
      <w:pPr>
        <w:pStyle w:val="ListParagraph"/>
        <w:numPr>
          <w:ilvl w:val="0"/>
          <w:numId w:val="49"/>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Stowarzyszenie Pamięci Zawiszy Czarnego Herbu Sulima z Garbowa,</w:t>
      </w:r>
    </w:p>
    <w:p>
      <w:pPr>
        <w:pStyle w:val="ListParagraph"/>
        <w:numPr>
          <w:ilvl w:val="0"/>
          <w:numId w:val="49"/>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Stowarzyszenie na rzecz Rozwoju Wsi Nowe Kichary,</w:t>
      </w:r>
    </w:p>
    <w:p>
      <w:pPr>
        <w:pStyle w:val="ListParagraph"/>
        <w:numPr>
          <w:ilvl w:val="0"/>
          <w:numId w:val="49"/>
        </w:numPr>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Stowarzyszenie „Aktywni dla Słupczy”.</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Times New Roman" w:cs="Calibri" w:cstheme="minorHAnsi"/>
          <w:color w:val="000000"/>
          <w:lang w:eastAsia="zh-CN"/>
        </w:rPr>
        <w:t>Zdiagnozowane potrzeby:</w:t>
      </w:r>
    </w:p>
    <w:p>
      <w:pPr>
        <w:pStyle w:val="Normal"/>
        <w:spacing w:lineRule="auto" w:line="240" w:before="0" w:after="0"/>
        <w:jc w:val="both"/>
        <w:rPr>
          <w:rFonts w:ascii="Calibri" w:hAnsi="Calibri" w:eastAsia="Calibri" w:cs="Calibri"/>
        </w:rPr>
      </w:pPr>
      <w:r>
        <w:rPr>
          <w:rFonts w:eastAsia="Calibri" w:cs="Calibri"/>
        </w:rPr>
        <w:t xml:space="preserve">1. Wspólna realizacja projektów partnerskich z organizacjami pozarządowymi. </w:t>
      </w:r>
    </w:p>
    <w:p>
      <w:pPr>
        <w:pStyle w:val="Normal"/>
        <w:spacing w:lineRule="auto" w:line="240" w:before="0" w:after="0"/>
        <w:jc w:val="both"/>
        <w:rPr>
          <w:rFonts w:ascii="Calibri" w:hAnsi="Calibri" w:eastAsia="Calibri" w:cs="Calibri"/>
        </w:rPr>
      </w:pPr>
      <w:r>
        <w:rPr>
          <w:rFonts w:eastAsia="Calibri" w:cs="Calibri"/>
        </w:rPr>
        <w:t>2. Budżet obywatelski.</w:t>
      </w:r>
    </w:p>
    <w:p>
      <w:pPr>
        <w:pStyle w:val="Normal"/>
        <w:spacing w:lineRule="auto" w:line="240" w:before="0" w:after="0"/>
        <w:jc w:val="both"/>
        <w:rPr>
          <w:rFonts w:ascii="Calibri" w:hAnsi="Calibri" w:eastAsia="Calibri" w:cs="Calibri"/>
        </w:rPr>
      </w:pPr>
      <w:r>
        <w:rPr>
          <w:rFonts w:eastAsia="Calibri" w:cs="Calibri"/>
        </w:rPr>
        <w:t>3. Z</w:t>
      </w:r>
      <w:r>
        <w:rPr>
          <w:rFonts w:eastAsia="Times New Roman" w:cs="Calibri"/>
          <w:color w:val="000000"/>
          <w:lang w:eastAsia="pl-PL"/>
        </w:rPr>
        <w:t>większanie aktywności obywatelskiej i społecznej mieszkańców poprzez stworzenie inkubatora organizacji pozarządowych.</w:t>
      </w:r>
    </w:p>
    <w:p>
      <w:pPr>
        <w:pStyle w:val="Normal"/>
        <w:spacing w:lineRule="auto" w:line="240" w:before="0" w:after="0"/>
        <w:jc w:val="both"/>
        <w:rPr>
          <w:rFonts w:ascii="Calibri" w:hAnsi="Calibri" w:eastAsia="Calibri" w:cs="Times New Roman"/>
        </w:rPr>
      </w:pPr>
      <w:r>
        <w:rPr>
          <w:rFonts w:eastAsia="Times New Roman" w:cs="Calibri"/>
          <w:color w:val="000000"/>
          <w:lang w:eastAsia="pl-PL"/>
        </w:rPr>
        <w:t>4. S</w:t>
      </w:r>
      <w:r>
        <w:rPr>
          <w:rFonts w:eastAsia="Calibri" w:cs="Times New Roman"/>
        </w:rPr>
        <w:t>tworzenie skutecznego systemu konsultacji społecznych prowadzonych w sprawach ważnych dla mieszkańców.</w:t>
      </w:r>
    </w:p>
    <w:p>
      <w:pPr>
        <w:pStyle w:val="Normal"/>
        <w:spacing w:lineRule="auto" w:line="240" w:before="0" w:after="0"/>
        <w:jc w:val="both"/>
        <w:rPr>
          <w:rFonts w:ascii="Calibri" w:hAnsi="Calibri" w:eastAsia="Calibri" w:cs="Times New Roman"/>
        </w:rPr>
      </w:pPr>
      <w:r>
        <w:rPr>
          <w:rFonts w:eastAsia="Calibri" w:cs="Times New Roman"/>
        </w:rPr>
        <w:t>5. Udostępnienie lokalnych zasobów publicznych dla działań wolontarystycznych.</w:t>
      </w:r>
    </w:p>
    <w:p>
      <w:pPr>
        <w:pStyle w:val="Normal"/>
        <w:spacing w:lineRule="auto" w:line="240" w:before="0" w:after="0"/>
        <w:jc w:val="both"/>
        <w:rPr>
          <w:rFonts w:ascii="Calibri" w:hAnsi="Calibri" w:eastAsia="Calibri" w:cs="Times New Roman"/>
        </w:rPr>
      </w:pPr>
      <w:r>
        <w:rPr>
          <w:rFonts w:eastAsia="Calibri" w:cs="Times New Roman"/>
        </w:rPr>
        <w:t>6. Wypromowanie wolontariatu jako działania realizującego hobby, zainteresowania, wykorzystującego potencjał różnych grup społecznych.</w:t>
      </w:r>
    </w:p>
    <w:p>
      <w:pPr>
        <w:pStyle w:val="Normal"/>
        <w:spacing w:lineRule="auto" w:line="240" w:before="0" w:after="0"/>
        <w:jc w:val="both"/>
        <w:rPr>
          <w:rFonts w:ascii="Calibri" w:hAnsi="Calibri" w:eastAsia="Calibri" w:cs="Times New Roman"/>
        </w:rPr>
      </w:pPr>
      <w:r>
        <w:rPr>
          <w:rFonts w:eastAsia="Calibri" w:cs="Times New Roman"/>
        </w:rPr>
        <w:t>7. Podniesienie efektywności i skuteczności działań realizowanych w sferze pożytku publicznego.</w:t>
      </w:r>
    </w:p>
    <w:p>
      <w:pPr>
        <w:pStyle w:val="Normal"/>
        <w:spacing w:lineRule="auto" w:line="240" w:before="0" w:after="0"/>
        <w:jc w:val="both"/>
        <w:rPr>
          <w:rFonts w:ascii="Calibri" w:hAnsi="Calibri" w:eastAsia="Calibri" w:cs="Times New Roman"/>
        </w:rPr>
      </w:pPr>
      <w:r>
        <w:rPr>
          <w:rFonts w:eastAsia="Calibri" w:cs="Times New Roman"/>
        </w:rPr>
        <w:t>8. Usprawnienie systemu dofinansowywania i współfinansowania działań realizowanych przez NGO.</w:t>
      </w:r>
    </w:p>
    <w:p>
      <w:pPr>
        <w:pStyle w:val="Normal"/>
        <w:spacing w:lineRule="auto" w:line="240" w:before="0" w:after="0"/>
        <w:jc w:val="both"/>
        <w:rPr>
          <w:rFonts w:ascii="Calibri" w:hAnsi="Calibri" w:eastAsia="Calibri" w:cs="Times New Roman"/>
        </w:rPr>
      </w:pPr>
      <w:r>
        <w:rPr>
          <w:rFonts w:eastAsia="Calibri" w:cs="Times New Roman"/>
        </w:rPr>
        <w:t>9. S</w:t>
      </w:r>
      <w:r>
        <w:rPr>
          <w:rFonts w:eastAsia="Calibri" w:cs="Calibri"/>
        </w:rPr>
        <w:t>tworzenie Centrum Wolontariatu oraz Wsparcia Organizacji Pozarządowych w Gminie Dwikozy.</w:t>
      </w:r>
    </w:p>
    <w:p>
      <w:pPr>
        <w:pStyle w:val="Normal"/>
        <w:spacing w:lineRule="auto" w:line="240" w:before="0" w:after="0"/>
        <w:jc w:val="both"/>
        <w:rPr>
          <w:rFonts w:ascii="Calibri" w:hAnsi="Calibri" w:eastAsia="Calibri" w:cs="Times New Roman"/>
        </w:rPr>
      </w:pPr>
      <w:r>
        <w:rPr>
          <w:rFonts w:eastAsia="Calibri" w:cs="Calibri"/>
        </w:rPr>
        <w:t>10. Wsparcie osób w wieku senioralnym, w tym m.in.:</w:t>
      </w:r>
    </w:p>
    <w:p>
      <w:pPr>
        <w:pStyle w:val="Normal"/>
        <w:numPr>
          <w:ilvl w:val="0"/>
          <w:numId w:val="76"/>
        </w:numPr>
        <w:spacing w:lineRule="auto" w:line="240" w:before="0" w:after="0"/>
        <w:jc w:val="both"/>
        <w:rPr>
          <w:rFonts w:ascii="Calibri" w:hAnsi="Calibri" w:eastAsia="Calibri" w:cs="Times New Roman"/>
        </w:rPr>
      </w:pPr>
      <w:r>
        <w:rPr>
          <w:rFonts w:eastAsia="Calibri" w:cs="Calibri"/>
        </w:rPr>
        <w:t xml:space="preserve">utworzenie (i wspieranie działalności) Uniwersytetu III Wieku, </w:t>
      </w:r>
    </w:p>
    <w:p>
      <w:pPr>
        <w:pStyle w:val="Normal"/>
        <w:numPr>
          <w:ilvl w:val="0"/>
          <w:numId w:val="76"/>
        </w:numPr>
        <w:spacing w:lineRule="auto" w:line="240" w:before="0" w:after="0"/>
        <w:jc w:val="both"/>
        <w:rPr>
          <w:rFonts w:ascii="Calibri" w:hAnsi="Calibri" w:eastAsia="Calibri" w:cs="Times New Roman"/>
        </w:rPr>
      </w:pPr>
      <w:r>
        <w:rPr>
          <w:rFonts w:eastAsia="Calibri" w:cs="Calibri"/>
        </w:rPr>
        <w:t>wsparcie dziennych domów pobytu, zajęć dla seniorów w różnego rodzaju klubach seniora,</w:t>
      </w:r>
    </w:p>
    <w:p>
      <w:pPr>
        <w:pStyle w:val="Normal"/>
        <w:numPr>
          <w:ilvl w:val="0"/>
          <w:numId w:val="76"/>
        </w:numPr>
        <w:spacing w:lineRule="auto" w:line="240" w:before="0" w:after="0"/>
        <w:jc w:val="both"/>
        <w:rPr>
          <w:rFonts w:ascii="Calibri" w:hAnsi="Calibri" w:eastAsia="Calibri" w:cs="Times New Roman"/>
        </w:rPr>
      </w:pPr>
      <w:r>
        <w:rPr>
          <w:rFonts w:eastAsia="Calibri" w:cs="Calibri"/>
        </w:rPr>
        <w:t>zakup i w</w:t>
      </w:r>
      <w:r>
        <w:rPr>
          <w:rFonts w:eastAsia="Calibri" w:cs="Times New Roman"/>
        </w:rPr>
        <w:t xml:space="preserve">ypożyczanie opasek „Teleopieka”, </w:t>
      </w:r>
    </w:p>
    <w:p>
      <w:pPr>
        <w:pStyle w:val="Normal"/>
        <w:numPr>
          <w:ilvl w:val="0"/>
          <w:numId w:val="76"/>
        </w:numPr>
        <w:spacing w:lineRule="auto" w:line="240" w:before="0" w:after="0"/>
        <w:jc w:val="both"/>
        <w:rPr>
          <w:rFonts w:ascii="Calibri" w:hAnsi="Calibri" w:eastAsia="Calibri" w:cs="Times New Roman"/>
        </w:rPr>
      </w:pPr>
      <w:r>
        <w:rPr>
          <w:rFonts w:eastAsia="Calibri" w:cs="Times New Roman"/>
        </w:rPr>
        <w:t>świadczenie usług opiekuńczych w miejscu zamieszkania,</w:t>
      </w:r>
    </w:p>
    <w:p>
      <w:pPr>
        <w:pStyle w:val="Normal"/>
        <w:suppressAutoHyphens w:val="true"/>
        <w:spacing w:lineRule="auto" w:line="240" w:before="0" w:after="0"/>
        <w:jc w:val="both"/>
        <w:textAlignment w:val="baseline"/>
        <w:rPr>
          <w:rFonts w:eastAsia="Times New Roman" w:cs="Calibri" w:cstheme="minorHAnsi"/>
          <w:color w:val="000000"/>
          <w:lang w:eastAsia="zh-CN"/>
        </w:rPr>
      </w:pPr>
      <w:r>
        <w:rPr>
          <w:rFonts w:eastAsia="Calibri" w:cs="Times New Roman"/>
        </w:rPr>
        <w:t>11. Utworzenie grup wsparcia dla opiekunów faktycznych osób niepełnosprawnych.</w:t>
      </w:r>
    </w:p>
    <w:p>
      <w:pPr>
        <w:pStyle w:val="Normal"/>
        <w:rPr>
          <w:rFonts w:eastAsia="Times New Roman" w:cs="Calibri" w:cstheme="minorHAnsi"/>
          <w:color w:val="000000"/>
          <w:lang w:eastAsia="zh-CN"/>
        </w:rPr>
      </w:pPr>
      <w:r>
        <w:rPr>
          <w:rFonts w:eastAsia="Times New Roman" w:cs="Calibri" w:cstheme="minorHAnsi"/>
          <w:color w:val="000000"/>
          <w:lang w:eastAsia="zh-CN"/>
        </w:rPr>
      </w:r>
      <w:r>
        <w:br w:type="page"/>
      </w:r>
    </w:p>
    <w:p>
      <w:pPr>
        <w:pStyle w:val="Nagwek1"/>
        <w:numPr>
          <w:ilvl w:val="0"/>
          <w:numId w:val="11"/>
        </w:numPr>
        <w:spacing w:lineRule="auto" w:line="240" w:before="0" w:after="120"/>
        <w:ind w:left="432" w:hanging="432"/>
        <w:rPr>
          <w:rFonts w:ascii="Calibri" w:hAnsi="Calibri" w:cs="Calibri" w:asciiTheme="minorHAnsi" w:cstheme="minorHAnsi" w:hAnsiTheme="minorHAnsi"/>
        </w:rPr>
      </w:pPr>
      <w:bookmarkStart w:id="249" w:name="_Toc69212064"/>
      <w:bookmarkStart w:id="250" w:name="_Toc118887471"/>
      <w:bookmarkEnd w:id="249"/>
      <w:r>
        <w:rPr>
          <w:rFonts w:cs="Calibri" w:ascii="Calibri" w:hAnsi="Calibri" w:asciiTheme="minorHAnsi" w:cstheme="minorHAnsi" w:hAnsiTheme="minorHAnsi"/>
        </w:rPr>
        <w:t>Diagnoza sytuacji gospodarczej</w:t>
      </w:r>
      <w:bookmarkEnd w:id="250"/>
      <w:r>
        <w:rPr>
          <w:rFonts w:cs="Calibri" w:ascii="Calibri" w:hAnsi="Calibri" w:asciiTheme="minorHAnsi" w:cstheme="minorHAnsi" w:hAnsiTheme="minorHAnsi"/>
        </w:rPr>
        <w:t xml:space="preserve"> </w:t>
      </w:r>
    </w:p>
    <w:p>
      <w:pPr>
        <w:pStyle w:val="Nagwek2"/>
        <w:numPr>
          <w:ilvl w:val="1"/>
          <w:numId w:val="11"/>
        </w:numPr>
        <w:spacing w:lineRule="auto" w:line="240" w:before="0" w:after="120"/>
        <w:ind w:left="432" w:hanging="432"/>
        <w:rPr>
          <w:rFonts w:ascii="Calibri" w:hAnsi="Calibri" w:cs="Calibri" w:asciiTheme="minorHAnsi" w:cstheme="minorHAnsi" w:hAnsiTheme="minorHAnsi"/>
          <w:i w:val="false"/>
          <w:i w:val="false"/>
          <w:iCs w:val="false"/>
        </w:rPr>
      </w:pPr>
      <w:bookmarkStart w:id="251" w:name="_Toc69212064"/>
      <w:bookmarkStart w:id="252" w:name="_Toc69212065"/>
      <w:bookmarkEnd w:id="251"/>
      <w:bookmarkEnd w:id="252"/>
      <w:r>
        <w:rPr>
          <w:rFonts w:cs="Calibri" w:ascii="Calibri" w:hAnsi="Calibri" w:asciiTheme="minorHAnsi" w:cstheme="minorHAnsi" w:hAnsiTheme="minorHAnsi"/>
          <w:i w:val="false"/>
          <w:iCs w:val="false"/>
        </w:rPr>
        <w:t xml:space="preserve"> </w:t>
      </w:r>
      <w:bookmarkStart w:id="253" w:name="_Toc118887472"/>
      <w:r>
        <w:rPr>
          <w:rFonts w:cs="Calibri" w:ascii="Calibri" w:hAnsi="Calibri" w:asciiTheme="minorHAnsi" w:cstheme="minorHAnsi" w:hAnsiTheme="minorHAnsi"/>
          <w:i w:val="false"/>
          <w:iCs w:val="false"/>
        </w:rPr>
        <w:t>Gospodarka</w:t>
      </w:r>
      <w:bookmarkEnd w:id="253"/>
      <w:r>
        <w:rPr>
          <w:rFonts w:cs="Calibri" w:ascii="Calibri" w:hAnsi="Calibri" w:asciiTheme="minorHAnsi" w:cstheme="minorHAnsi" w:hAnsiTheme="minorHAnsi"/>
          <w:i w:val="false"/>
          <w:iCs w:val="false"/>
        </w:rPr>
        <w:t xml:space="preserve"> </w:t>
      </w:r>
    </w:p>
    <w:p>
      <w:pPr>
        <w:pStyle w:val="Normal"/>
        <w:spacing w:lineRule="auto" w:line="240" w:before="0" w:after="0"/>
        <w:ind w:hanging="426"/>
        <w:jc w:val="both"/>
        <w:rPr>
          <w:rFonts w:cs="Calibri" w:cstheme="minorHAnsi"/>
          <w:sz w:val="18"/>
          <w:szCs w:val="18"/>
          <w:highlight w:val="yellow"/>
        </w:rPr>
      </w:pPr>
      <w:r>
        <w:rPr>
          <w:rFonts w:cs="Calibri" w:cstheme="minorHAnsi"/>
          <w:sz w:val="18"/>
          <w:szCs w:val="18"/>
          <w:highlight w:val="yellow"/>
        </w:rPr>
      </w:r>
    </w:p>
    <w:p>
      <w:pPr>
        <w:pStyle w:val="Caption"/>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bookmarkStart w:id="254" w:name="_Toc69212065"/>
      <w:bookmarkStart w:id="255" w:name="_Toc531176627"/>
      <w:bookmarkEnd w:id="254"/>
      <w:r>
        <w:rPr>
          <w:rFonts w:eastAsia="Times New Roman" w:cs="Calibri" w:cstheme="minorHAnsi"/>
          <w:b w:val="false"/>
          <w:bCs w:val="false"/>
          <w:sz w:val="22"/>
          <w:szCs w:val="22"/>
          <w:lang w:eastAsia="pl-PL"/>
        </w:rPr>
        <w:t xml:space="preserve">Ze względu na strukturę użytkowania gruntów, przyszłość gminy będzie w dalszym ciągu wiązała się </w:t>
        <w:br/>
        <w:t xml:space="preserve">z rozwojem rolnictwa (głównie sadownictwa). Z drugiej strony coraz większe znaczenie będzie miał rozwój funkcji usługowych, produkcyjnych, a przede wszystkim rekreacyjnych (turystycznych). </w:t>
        <w:br/>
        <w:t>W gminie Dwikozy funkcjonują 2 322 gospodarstwa rolne.</w:t>
      </w:r>
    </w:p>
    <w:p>
      <w:pPr>
        <w:pStyle w:val="Normal"/>
        <w:spacing w:lineRule="auto" w:line="240" w:before="0" w:after="0"/>
        <w:rPr>
          <w:rFonts w:cs="Calibri" w:cstheme="minorHAnsi"/>
          <w:lang w:eastAsia="pl-PL"/>
        </w:rPr>
      </w:pPr>
      <w:r>
        <w:rPr>
          <w:rFonts w:cs="Calibri" w:cstheme="minorHAnsi"/>
          <w:lang w:eastAsia="pl-PL"/>
        </w:rPr>
      </w:r>
    </w:p>
    <w:p>
      <w:pPr>
        <w:pStyle w:val="Caption"/>
        <w:spacing w:lineRule="auto" w:line="240" w:before="0" w:after="0"/>
        <w:jc w:val="center"/>
        <w:rPr>
          <w:rFonts w:ascii="Calibri" w:hAnsi="Calibri" w:cs="Calibri" w:asciiTheme="minorHAnsi" w:cstheme="minorHAnsi" w:hAnsiTheme="minorHAnsi"/>
          <w:b w:val="false"/>
          <w:b w:val="false"/>
          <w:bCs w:val="false"/>
          <w:lang w:eastAsia="pl-PL"/>
        </w:rPr>
      </w:pPr>
      <w:bookmarkStart w:id="256" w:name="_Toc118887792"/>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43</w:t>
      </w:r>
      <w:r>
        <w:rPr>
          <w:b w:val="false"/>
          <w:bCs w:val="false"/>
          <w:rFonts w:cs="Calibri"/>
        </w:rPr>
        <w:fldChar w:fldCharType="end"/>
      </w:r>
      <w:r>
        <w:rPr>
          <w:rFonts w:cs="Calibri" w:cstheme="minorHAnsi"/>
          <w:b w:val="false"/>
          <w:bCs w:val="false"/>
        </w:rPr>
        <w:t xml:space="preserve"> Powierzchna sołectw i liczby gospodarstw na terenie gminy Dwikozy wg stanu na 31.12.2021r.</w:t>
      </w:r>
      <w:bookmarkEnd w:id="256"/>
    </w:p>
    <w:tbl>
      <w:tblPr>
        <w:tblStyle w:val="Tabela-Siatka1"/>
        <w:tblW w:w="807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8"/>
        <w:gridCol w:w="3402"/>
        <w:gridCol w:w="1755"/>
        <w:gridCol w:w="1929"/>
      </w:tblGrid>
      <w:tr>
        <w:trPr>
          <w:trHeight w:val="327" w:hRule="atLeast"/>
        </w:trPr>
        <w:tc>
          <w:tcPr>
            <w:tcW w:w="988"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b/>
                <w:b/>
                <w:bCs/>
                <w:color w:val="000000"/>
                <w:sz w:val="22"/>
                <w:szCs w:val="22"/>
                <w:lang w:eastAsia="pl-PL"/>
              </w:rPr>
            </w:pPr>
            <w:r>
              <w:rPr>
                <w:rFonts w:eastAsia="Times New Roman" w:cs="Calibri" w:cstheme="minorHAnsi"/>
                <w:b/>
                <w:bCs/>
                <w:color w:val="000000"/>
                <w:kern w:val="0"/>
                <w:sz w:val="22"/>
                <w:szCs w:val="22"/>
                <w:lang w:eastAsia="pl-PL" w:bidi="ar-SA"/>
              </w:rPr>
              <w:t>L.p.</w:t>
            </w:r>
          </w:p>
        </w:tc>
        <w:tc>
          <w:tcPr>
            <w:tcW w:w="3402"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b/>
                <w:b/>
                <w:bCs/>
                <w:color w:val="000000"/>
                <w:sz w:val="22"/>
                <w:szCs w:val="22"/>
                <w:lang w:eastAsia="pl-PL"/>
              </w:rPr>
            </w:pPr>
            <w:r>
              <w:rPr>
                <w:rFonts w:eastAsia="Times New Roman" w:cs="Calibri" w:cstheme="minorHAnsi"/>
                <w:b/>
                <w:bCs/>
                <w:color w:val="000000"/>
                <w:kern w:val="0"/>
                <w:sz w:val="22"/>
                <w:szCs w:val="22"/>
                <w:lang w:eastAsia="pl-PL" w:bidi="ar-SA"/>
              </w:rPr>
              <w:t>Sołectwo</w:t>
            </w:r>
          </w:p>
        </w:tc>
        <w:tc>
          <w:tcPr>
            <w:tcW w:w="1755"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b/>
                <w:b/>
                <w:bCs/>
                <w:color w:val="000000"/>
                <w:sz w:val="22"/>
                <w:szCs w:val="22"/>
                <w:lang w:eastAsia="pl-PL"/>
              </w:rPr>
            </w:pPr>
            <w:r>
              <w:rPr>
                <w:rFonts w:eastAsia="Times New Roman" w:cs="Calibri" w:cstheme="minorHAnsi"/>
                <w:b/>
                <w:bCs/>
                <w:color w:val="000000"/>
                <w:kern w:val="0"/>
                <w:sz w:val="22"/>
                <w:szCs w:val="22"/>
                <w:lang w:eastAsia="pl-PL" w:bidi="ar-SA"/>
              </w:rPr>
              <w:t>Liczba gospodarstw</w:t>
            </w:r>
          </w:p>
        </w:tc>
        <w:tc>
          <w:tcPr>
            <w:tcW w:w="1929" w:type="dxa"/>
            <w:tcBorders/>
            <w:shd w:color="auto" w:fill="FFF2CC" w:themeFill="accent4"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b/>
                <w:b/>
                <w:bCs/>
                <w:color w:val="000000"/>
                <w:sz w:val="22"/>
                <w:szCs w:val="22"/>
                <w:lang w:eastAsia="pl-PL"/>
              </w:rPr>
            </w:pPr>
            <w:r>
              <w:rPr>
                <w:rFonts w:eastAsia="Times New Roman" w:cs="Calibri" w:cstheme="minorHAnsi"/>
                <w:b/>
                <w:bCs/>
                <w:color w:val="000000"/>
                <w:kern w:val="0"/>
                <w:sz w:val="22"/>
                <w:szCs w:val="22"/>
                <w:lang w:eastAsia="pl-PL" w:bidi="ar-SA"/>
              </w:rPr>
              <w:t>Powierzchnia sołectwa w ha</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Buczek</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14</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310</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Bożydar</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56</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144</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Czermin</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50</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382</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4.</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Dwikozy</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271</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703</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Gałkowice</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91</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342</w:t>
            </w:r>
          </w:p>
        </w:tc>
      </w:tr>
      <w:tr>
        <w:trPr>
          <w:trHeight w:val="296"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6.</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Kolonia Gałkowice</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37</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120</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Nowy Garbów</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56</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243</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8.</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Stary Garbów</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79</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351</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9.</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Gierlachów</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174</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301</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10.</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Góry Wysokie</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157</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532</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11.</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Jaroszówka</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14</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100,48</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12.</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Kamień Łukawski</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56</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151</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13.</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Nowy Kamień</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133</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392</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14.</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Nowe Kichary</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117</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401</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15.</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Stare Kichary</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48</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266</w:t>
            </w:r>
          </w:p>
        </w:tc>
      </w:tr>
      <w:tr>
        <w:trPr>
          <w:trHeight w:val="35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16.</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Kępa Chwałowska</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26</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105</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17.</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Mściów</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187</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554</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18.</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Romanówka</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79</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412,52</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19.</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Rzeczyca Mokra</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103</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310</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20.</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Rzeczyca Sucha</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76</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210</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21.</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Słupcza</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199</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773</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22.</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Szczytniki</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107</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443</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23.</w:t>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Winiarki</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77</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278</w:t>
            </w:r>
          </w:p>
        </w:tc>
      </w:tr>
      <w:tr>
        <w:trPr>
          <w:trHeight w:val="300" w:hRule="atLeast"/>
        </w:trPr>
        <w:tc>
          <w:tcPr>
            <w:tcW w:w="988"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24.</w:t>
            </w:r>
          </w:p>
        </w:tc>
        <w:tc>
          <w:tcPr>
            <w:tcW w:w="3402"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Winiary</w:t>
            </w:r>
          </w:p>
        </w:tc>
        <w:tc>
          <w:tcPr>
            <w:tcW w:w="1755"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115</w:t>
            </w:r>
          </w:p>
        </w:tc>
        <w:tc>
          <w:tcPr>
            <w:tcW w:w="1929" w:type="dxa"/>
            <w:tcBorders/>
            <w:shd w:color="auto" w:fill="E2EFD9" w:themeFill="accent6" w:themeFillTint="33" w:val="clear"/>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656</w:t>
            </w:r>
          </w:p>
        </w:tc>
      </w:tr>
      <w:tr>
        <w:trPr>
          <w:trHeight w:val="300" w:hRule="atLeast"/>
        </w:trPr>
        <w:tc>
          <w:tcPr>
            <w:tcW w:w="988"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0"/>
                <w:szCs w:val="20"/>
                <w:lang w:eastAsia="en-US" w:bidi="ar-SA"/>
              </w:rPr>
            </w:r>
          </w:p>
        </w:tc>
        <w:tc>
          <w:tcPr>
            <w:tcW w:w="3402"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Razem</w:t>
            </w:r>
          </w:p>
        </w:tc>
        <w:tc>
          <w:tcPr>
            <w:tcW w:w="1755"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2322</w:t>
            </w:r>
          </w:p>
        </w:tc>
        <w:tc>
          <w:tcPr>
            <w:tcW w:w="1929" w:type="dxa"/>
            <w:tcBorders/>
          </w:tcPr>
          <w:p>
            <w:pPr>
              <w:pStyle w:val="Normal"/>
              <w:widowControl/>
              <w:spacing w:lineRule="auto" w:line="240" w:before="0" w:after="0"/>
              <w:jc w:val="center"/>
              <w:rPr>
                <w:rFonts w:ascii="Calibri" w:hAnsi="Calibri" w:eastAsia="Times New Roman" w:cs="Calibri" w:asciiTheme="minorHAnsi" w:cstheme="minorHAnsi" w:hAnsiTheme="minorHAnsi"/>
                <w:color w:val="000000"/>
                <w:sz w:val="22"/>
                <w:szCs w:val="22"/>
                <w:lang w:eastAsia="pl-PL"/>
              </w:rPr>
            </w:pPr>
            <w:r>
              <w:rPr>
                <w:rFonts w:eastAsia="Times New Roman" w:cs="Calibri" w:cstheme="minorHAnsi"/>
                <w:color w:val="000000"/>
                <w:kern w:val="0"/>
                <w:sz w:val="22"/>
                <w:szCs w:val="22"/>
                <w:lang w:eastAsia="pl-PL" w:bidi="ar-SA"/>
              </w:rPr>
              <w:t>8480</w:t>
            </w:r>
          </w:p>
        </w:tc>
      </w:tr>
    </w:tbl>
    <w:p>
      <w:pPr>
        <w:pStyle w:val="Normal"/>
        <w:spacing w:lineRule="auto" w:line="240" w:before="0" w:after="0"/>
        <w:jc w:val="center"/>
        <w:rPr>
          <w:rFonts w:cs="Calibri" w:cstheme="minorHAnsi"/>
          <w:sz w:val="20"/>
          <w:szCs w:val="20"/>
          <w:lang w:eastAsia="pl-PL"/>
        </w:rPr>
      </w:pPr>
      <w:r>
        <w:rPr>
          <w:rFonts w:cs="Calibri" w:cstheme="minorHAnsi"/>
          <w:sz w:val="20"/>
          <w:szCs w:val="20"/>
          <w:lang w:eastAsia="pl-PL"/>
        </w:rPr>
        <w:t>Źródło: Raport o Stanie Gminy Dwikozy za rok 2021</w:t>
      </w:r>
    </w:p>
    <w:p>
      <w:pPr>
        <w:pStyle w:val="Normal"/>
        <w:spacing w:lineRule="auto" w:line="240" w:before="0" w:after="0"/>
        <w:jc w:val="center"/>
        <w:rPr>
          <w:rFonts w:cs="Calibri" w:cstheme="minorHAnsi"/>
          <w:i/>
          <w:i/>
          <w:iCs/>
          <w:highlight w:val="yellow"/>
          <w:lang w:eastAsia="pl-PL"/>
        </w:rPr>
      </w:pPr>
      <w:r>
        <w:rPr>
          <w:rFonts w:cs="Calibri" w:cstheme="minorHAnsi"/>
          <w:i/>
          <w:iCs/>
          <w:highlight w:val="yellow"/>
          <w:lang w:eastAsia="pl-PL"/>
        </w:rPr>
      </w:r>
    </w:p>
    <w:p>
      <w:pPr>
        <w:pStyle w:val="Caption"/>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r>
        <w:rPr>
          <w:rFonts w:eastAsia="Times New Roman" w:cs="Calibri" w:cstheme="minorHAnsi"/>
          <w:b w:val="false"/>
          <w:bCs w:val="false"/>
          <w:sz w:val="22"/>
          <w:szCs w:val="22"/>
          <w:lang w:eastAsia="pl-PL"/>
        </w:rPr>
        <w:t xml:space="preserve">Wg bazy CEiDG na dzień 31 grudnia 2021 r. liczba zarejestrowanych podmiotów gospodarczych, które miały siedzibę na terenie gminie Dwikozy, obejmowała 305 pozycji (z czego najwięcej </w:t>
        <w:br/>
        <w:t xml:space="preserve">w sołectwie Dwikozy – 24,92 % wszystkich podmiotów (76 firm) oraz w Gierlachowie (37 firm, tj. ponad 12,13% ogółu). </w:t>
      </w:r>
    </w:p>
    <w:p>
      <w:pPr>
        <w:pStyle w:val="Normal"/>
        <w:spacing w:lineRule="auto" w:line="240" w:before="0" w:after="0"/>
        <w:rPr>
          <w:rFonts w:cs="Calibri" w:cstheme="minorHAnsi"/>
          <w:highlight w:val="yellow"/>
          <w:lang w:eastAsia="pl-PL"/>
        </w:rPr>
      </w:pPr>
      <w:r>
        <w:rPr>
          <w:rFonts w:cs="Calibri" w:cstheme="minorHAnsi"/>
          <w:highlight w:val="yellow"/>
          <w:lang w:eastAsia="pl-PL"/>
        </w:rPr>
      </w:r>
    </w:p>
    <w:p>
      <w:pPr>
        <w:pStyle w:val="Normal"/>
        <w:rPr>
          <w:rFonts w:cs="Calibri" w:cstheme="minorHAnsi"/>
          <w:highlight w:val="yellow"/>
          <w:lang w:eastAsia="pl-PL"/>
        </w:rPr>
      </w:pPr>
      <w:r>
        <w:rPr>
          <w:rFonts w:cs="Calibri" w:cstheme="minorHAnsi"/>
          <w:highlight w:val="yellow"/>
          <w:lang w:eastAsia="pl-PL"/>
        </w:rPr>
      </w:r>
      <w:r>
        <w:br w:type="page"/>
      </w:r>
    </w:p>
    <w:p>
      <w:pPr>
        <w:pStyle w:val="Caption"/>
        <w:spacing w:lineRule="auto" w:line="240" w:before="0" w:after="0"/>
        <w:jc w:val="center"/>
        <w:rPr>
          <w:rFonts w:ascii="Calibri" w:hAnsi="Calibri" w:cs="Calibri" w:asciiTheme="minorHAnsi" w:cstheme="minorHAnsi" w:hAnsiTheme="minorHAnsi"/>
          <w:b w:val="false"/>
          <w:b w:val="false"/>
          <w:bCs w:val="false"/>
          <w:lang w:eastAsia="pl-PL"/>
        </w:rPr>
      </w:pPr>
      <w:bookmarkStart w:id="257" w:name="_Toc118887793"/>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44</w:t>
      </w:r>
      <w:r>
        <w:rPr>
          <w:b w:val="false"/>
          <w:bCs w:val="false"/>
          <w:rFonts w:cs="Calibri"/>
        </w:rPr>
        <w:fldChar w:fldCharType="end"/>
      </w:r>
      <w:r>
        <w:rPr>
          <w:rFonts w:cs="Calibri" w:cstheme="minorHAnsi"/>
          <w:b w:val="false"/>
          <w:bCs w:val="false"/>
        </w:rPr>
        <w:t xml:space="preserve"> Liczba zarejestrowanych firm w Centralnej Ewidencji i Informacji o Działalności Gospodarczej (CEiDG) na terenie gminy Dwikozy stan na 31.12.2021r.</w:t>
      </w:r>
      <w:bookmarkEnd w:id="257"/>
    </w:p>
    <w:tbl>
      <w:tblPr>
        <w:tblW w:w="93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45"/>
        <w:gridCol w:w="2258"/>
        <w:gridCol w:w="1539"/>
        <w:gridCol w:w="1481"/>
        <w:gridCol w:w="2139"/>
        <w:gridCol w:w="1360"/>
      </w:tblGrid>
      <w:tr>
        <w:trPr>
          <w:trHeight w:val="624" w:hRule="atLeast"/>
        </w:trPr>
        <w:tc>
          <w:tcPr>
            <w:tcW w:w="545"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L.p.</w:t>
            </w:r>
          </w:p>
        </w:tc>
        <w:tc>
          <w:tcPr>
            <w:tcW w:w="2258"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Sołectwo</w:t>
            </w:r>
          </w:p>
        </w:tc>
        <w:tc>
          <w:tcPr>
            <w:tcW w:w="15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31.12.2019</w:t>
            </w:r>
          </w:p>
        </w:tc>
        <w:tc>
          <w:tcPr>
            <w:tcW w:w="148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31.12.2020</w:t>
            </w:r>
          </w:p>
        </w:tc>
        <w:tc>
          <w:tcPr>
            <w:tcW w:w="21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31.12.2021</w:t>
            </w:r>
          </w:p>
        </w:tc>
        <w:tc>
          <w:tcPr>
            <w:tcW w:w="136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 do ogółu firm w 2021</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Dwikozy</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74</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79</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76</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24.92 %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Bożydar</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1.97 %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Buczek</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0</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0.00 %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Czermin</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2.30 %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5</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Gałkowice</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13</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14</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15</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4.92 %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Gierlachów</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31</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36</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37</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12.13 %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Góry Wysokie</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15</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18</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17</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5.57 %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Jaroszówka</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0</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0</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0</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0.00 %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9</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Kamień Łukawski</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11</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11</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3.61 %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10</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Kępa Chwałowska</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0.66 %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11</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Kolonia Gałkowice</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5</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1.97 %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12</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Mściów</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12</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15</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19</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6.23 %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13</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Nowe Kichary</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2.62 %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14</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Nowy Garbów</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0.98 %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15</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Nowy Kamień</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9</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9</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14</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4.59 %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16</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Romanówka</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4</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1.31 %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17</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Rzeczyca Mokra</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16</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18</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16</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5.25 %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18</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Rzeczyca Sucha</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5</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1.97 %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19</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Słupcza</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18</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19</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21</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6.89 %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20</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Stare Kichary</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6</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1.97 %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21</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Stary Garbów</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0.98 %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22</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Szczytniki</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9</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11</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3.61 %</w:t>
            </w:r>
          </w:p>
        </w:tc>
      </w:tr>
      <w:tr>
        <w:trPr>
          <w:trHeight w:val="312"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23</w:t>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Winiarki</w:t>
            </w:r>
          </w:p>
        </w:tc>
        <w:tc>
          <w:tcPr>
            <w:tcW w:w="15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14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8</w:t>
            </w:r>
          </w:p>
        </w:tc>
        <w:tc>
          <w:tcPr>
            <w:tcW w:w="21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7</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2.30 %</w:t>
            </w:r>
          </w:p>
        </w:tc>
      </w:tr>
      <w:tr>
        <w:trPr>
          <w:trHeight w:val="312" w:hRule="atLeast"/>
        </w:trPr>
        <w:tc>
          <w:tcPr>
            <w:tcW w:w="545"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24</w:t>
            </w:r>
          </w:p>
        </w:tc>
        <w:tc>
          <w:tcPr>
            <w:tcW w:w="2258"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Winiary</w:t>
            </w:r>
          </w:p>
        </w:tc>
        <w:tc>
          <w:tcPr>
            <w:tcW w:w="15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10</w:t>
            </w:r>
          </w:p>
        </w:tc>
        <w:tc>
          <w:tcPr>
            <w:tcW w:w="148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10</w:t>
            </w:r>
          </w:p>
        </w:tc>
        <w:tc>
          <w:tcPr>
            <w:tcW w:w="2139"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10</w:t>
            </w:r>
          </w:p>
        </w:tc>
        <w:tc>
          <w:tcPr>
            <w:tcW w:w="136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3.28 %</w:t>
            </w:r>
          </w:p>
        </w:tc>
      </w:tr>
      <w:tr>
        <w:trPr>
          <w:trHeight w:val="74"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
          </w:p>
        </w:tc>
        <w:tc>
          <w:tcPr>
            <w:tcW w:w="22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Razem</w:t>
            </w:r>
          </w:p>
        </w:tc>
        <w:tc>
          <w:tcPr>
            <w:tcW w:w="15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264</w:t>
            </w:r>
          </w:p>
        </w:tc>
        <w:tc>
          <w:tcPr>
            <w:tcW w:w="14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rPr>
              <w:t>293</w:t>
            </w:r>
          </w:p>
        </w:tc>
        <w:tc>
          <w:tcPr>
            <w:tcW w:w="2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rPr>
              <w:t>305</w:t>
            </w:r>
          </w:p>
        </w:tc>
        <w:tc>
          <w:tcPr>
            <w:tcW w:w="13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b/>
                <w:b/>
                <w:bCs/>
                <w:color w:val="000000"/>
                <w:lang w:val="en-US"/>
              </w:rPr>
            </w:pPr>
            <w:r>
              <w:rPr/>
            </w:r>
          </w:p>
        </w:tc>
      </w:tr>
    </w:tbl>
    <w:p>
      <w:pPr>
        <w:pStyle w:val="Normal"/>
        <w:spacing w:lineRule="auto" w:line="240" w:before="0" w:after="0"/>
        <w:jc w:val="center"/>
        <w:rPr>
          <w:rFonts w:cs="Calibri" w:cstheme="minorHAnsi"/>
          <w:sz w:val="20"/>
          <w:szCs w:val="20"/>
          <w:lang w:eastAsia="pl-PL"/>
        </w:rPr>
      </w:pPr>
      <w:r>
        <w:rPr>
          <w:rFonts w:cs="Calibri" w:cstheme="minorHAnsi"/>
          <w:sz w:val="20"/>
          <w:szCs w:val="20"/>
          <w:lang w:eastAsia="pl-PL"/>
        </w:rPr>
        <w:t>Źródło: opracowanie własne na podstawie CEiDG wg stanu na grudzień 2021</w:t>
      </w:r>
    </w:p>
    <w:p>
      <w:pPr>
        <w:pStyle w:val="Normal"/>
        <w:spacing w:lineRule="auto" w:line="240" w:before="0" w:after="0"/>
        <w:jc w:val="center"/>
        <w:rPr>
          <w:rFonts w:cs="Calibri" w:cstheme="minorHAnsi"/>
          <w:highlight w:val="yellow"/>
          <w:lang w:eastAsia="pl-PL"/>
        </w:rPr>
      </w:pPr>
      <w:r>
        <w:rPr>
          <w:rFonts w:cs="Calibri" w:cstheme="minorHAnsi"/>
          <w:highlight w:val="yellow"/>
          <w:lang w:eastAsia="pl-PL"/>
        </w:rPr>
      </w:r>
    </w:p>
    <w:p>
      <w:pPr>
        <w:pStyle w:val="Caption"/>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bookmarkStart w:id="258" w:name="_Hlk118697870"/>
      <w:r>
        <w:rPr>
          <w:rFonts w:eastAsia="Times New Roman" w:cs="Calibri" w:cstheme="minorHAnsi"/>
          <w:b w:val="false"/>
          <w:bCs w:val="false"/>
          <w:sz w:val="22"/>
          <w:szCs w:val="22"/>
          <w:lang w:eastAsia="pl-PL"/>
        </w:rPr>
        <w:t xml:space="preserve">Podmioty gospodarcze funkcjonujące na terenie gminy to przede wszystkim zakłady rodzinne, a do wiodących branż w gminie zaliczyć należy: </w:t>
      </w:r>
    </w:p>
    <w:p>
      <w:pPr>
        <w:pStyle w:val="Caption"/>
        <w:numPr>
          <w:ilvl w:val="0"/>
          <w:numId w:val="44"/>
        </w:numPr>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r>
        <w:rPr>
          <w:rFonts w:eastAsia="Times New Roman" w:cs="Calibri" w:cstheme="minorHAnsi"/>
          <w:b w:val="false"/>
          <w:bCs w:val="false"/>
          <w:sz w:val="22"/>
          <w:szCs w:val="22"/>
          <w:lang w:eastAsia="pl-PL"/>
        </w:rPr>
        <w:t xml:space="preserve">usługi ogólnobudowlane, </w:t>
      </w:r>
    </w:p>
    <w:p>
      <w:pPr>
        <w:pStyle w:val="Caption"/>
        <w:numPr>
          <w:ilvl w:val="0"/>
          <w:numId w:val="44"/>
        </w:numPr>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r>
        <w:rPr>
          <w:rFonts w:eastAsia="Times New Roman" w:cs="Calibri" w:cstheme="minorHAnsi"/>
          <w:b w:val="false"/>
          <w:bCs w:val="false"/>
          <w:sz w:val="22"/>
          <w:szCs w:val="22"/>
          <w:lang w:eastAsia="pl-PL"/>
        </w:rPr>
        <w:t xml:space="preserve">przetwórstwo przemysłowe, </w:t>
      </w:r>
    </w:p>
    <w:p>
      <w:pPr>
        <w:pStyle w:val="Caption"/>
        <w:numPr>
          <w:ilvl w:val="0"/>
          <w:numId w:val="44"/>
        </w:numPr>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r>
        <w:rPr>
          <w:rFonts w:eastAsia="Times New Roman" w:cs="Calibri" w:cstheme="minorHAnsi"/>
          <w:b w:val="false"/>
          <w:bCs w:val="false"/>
          <w:sz w:val="22"/>
          <w:szCs w:val="22"/>
          <w:lang w:eastAsia="pl-PL"/>
        </w:rPr>
        <w:t xml:space="preserve">przetwórstwo owoców i warzyw, </w:t>
      </w:r>
    </w:p>
    <w:p>
      <w:pPr>
        <w:pStyle w:val="Caption"/>
        <w:numPr>
          <w:ilvl w:val="0"/>
          <w:numId w:val="44"/>
        </w:numPr>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bookmarkStart w:id="259" w:name="_Hlk118697870"/>
      <w:r>
        <w:rPr>
          <w:rFonts w:eastAsia="Times New Roman" w:cs="Calibri" w:cstheme="minorHAnsi"/>
          <w:b w:val="false"/>
          <w:bCs w:val="false"/>
          <w:sz w:val="22"/>
          <w:szCs w:val="22"/>
          <w:lang w:eastAsia="pl-PL"/>
        </w:rPr>
        <w:t>handel i naprawy pojazdów samochodowych.</w:t>
      </w:r>
      <w:bookmarkEnd w:id="259"/>
    </w:p>
    <w:p>
      <w:pPr>
        <w:pStyle w:val="Caption"/>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r>
        <w:rPr>
          <w:rFonts w:eastAsia="Times New Roman" w:cs="Calibri" w:cstheme="minorHAnsi"/>
          <w:b w:val="false"/>
          <w:bCs w:val="false"/>
          <w:sz w:val="22"/>
          <w:szCs w:val="22"/>
          <w:lang w:eastAsia="pl-PL"/>
        </w:rPr>
      </w:r>
    </w:p>
    <w:p>
      <w:pPr>
        <w:pStyle w:val="Caption"/>
        <w:spacing w:lineRule="auto" w:line="240" w:before="0" w:after="0"/>
        <w:jc w:val="both"/>
        <w:rPr>
          <w:rFonts w:ascii="Calibri" w:hAnsi="Calibri" w:eastAsia="Times New Roman" w:cs="Calibri" w:asciiTheme="minorHAnsi" w:cstheme="minorHAnsi" w:hAnsiTheme="minorHAnsi"/>
          <w:b w:val="false"/>
          <w:b w:val="false"/>
          <w:bCs w:val="false"/>
          <w:sz w:val="22"/>
          <w:szCs w:val="22"/>
          <w:lang w:eastAsia="pl-PL"/>
        </w:rPr>
      </w:pPr>
      <w:r>
        <w:rPr>
          <w:rFonts w:eastAsia="Times New Roman" w:cs="Calibri" w:cstheme="minorHAnsi"/>
          <w:b w:val="false"/>
          <w:bCs w:val="false"/>
          <w:sz w:val="22"/>
          <w:szCs w:val="22"/>
          <w:lang w:eastAsia="pl-PL"/>
        </w:rPr>
        <w:t>W Gminie Dwikozy w roku 2021 w rejestrze REGON zarejestrowanych było 584 podmioty gospodarki narodowej czego 95,54% firm jest mikroprzedsiębiorstwami zatrudniającymi do 9 pracowników.</w:t>
      </w:r>
    </w:p>
    <w:p>
      <w:pPr>
        <w:pStyle w:val="Normal"/>
        <w:spacing w:lineRule="auto" w:line="240" w:before="0" w:after="0"/>
        <w:rPr>
          <w:rFonts w:cs="Calibri" w:cstheme="minorHAnsi"/>
          <w:highlight w:val="yellow"/>
          <w:lang w:eastAsia="pl-PL"/>
        </w:rPr>
      </w:pPr>
      <w:r>
        <w:rPr>
          <w:rFonts w:cs="Calibri" w:cstheme="minorHAnsi"/>
          <w:highlight w:val="yellow"/>
          <w:lang w:eastAsia="pl-PL"/>
        </w:rPr>
      </w:r>
    </w:p>
    <w:p>
      <w:pPr>
        <w:pStyle w:val="Caption"/>
        <w:spacing w:lineRule="auto" w:line="240" w:before="0" w:after="0"/>
        <w:jc w:val="center"/>
        <w:rPr>
          <w:rFonts w:ascii="Calibri" w:hAnsi="Calibri" w:cs="Calibri" w:asciiTheme="minorHAnsi" w:cstheme="minorHAnsi" w:hAnsiTheme="minorHAnsi"/>
          <w:b w:val="false"/>
          <w:b w:val="false"/>
          <w:bCs w:val="false"/>
          <w:lang w:eastAsia="pl-PL"/>
        </w:rPr>
      </w:pPr>
      <w:bookmarkStart w:id="260" w:name="_Hlk118562313"/>
      <w:bookmarkStart w:id="261" w:name="_Toc118887794"/>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45</w:t>
      </w:r>
      <w:r>
        <w:rPr>
          <w:b w:val="false"/>
          <w:bCs w:val="false"/>
          <w:rFonts w:cs="Calibri"/>
        </w:rPr>
        <w:fldChar w:fldCharType="end"/>
      </w:r>
      <w:r>
        <w:rPr>
          <w:rFonts w:cs="Calibri" w:cstheme="minorHAnsi"/>
          <w:b w:val="false"/>
          <w:bCs w:val="false"/>
        </w:rPr>
        <w:t xml:space="preserve"> Podmioty gospodarki narodowej wpisane do rejestru REGON w latach 2016-2021 na terenie Gminy Dwikozy według klas wielkości</w:t>
      </w:r>
      <w:bookmarkEnd w:id="261"/>
    </w:p>
    <w:tbl>
      <w:tblPr>
        <w:tblW w:w="9371"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3962"/>
        <w:gridCol w:w="910"/>
        <w:gridCol w:w="931"/>
        <w:gridCol w:w="891"/>
        <w:gridCol w:w="892"/>
        <w:gridCol w:w="892"/>
        <w:gridCol w:w="892"/>
      </w:tblGrid>
      <w:tr>
        <w:trPr>
          <w:trHeight w:val="279" w:hRule="atLeast"/>
        </w:trPr>
        <w:tc>
          <w:tcPr>
            <w:tcW w:w="3962"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Wyszczególnienie</w:t>
            </w:r>
          </w:p>
        </w:tc>
        <w:tc>
          <w:tcPr>
            <w:tcW w:w="91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93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2017</w:t>
            </w:r>
          </w:p>
        </w:tc>
        <w:tc>
          <w:tcPr>
            <w:tcW w:w="89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2018</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2019</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2020</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2021</w:t>
            </w:r>
          </w:p>
        </w:tc>
      </w:tr>
      <w:tr>
        <w:trPr>
          <w:trHeight w:val="279" w:hRule="atLeast"/>
        </w:trPr>
        <w:tc>
          <w:tcPr>
            <w:tcW w:w="396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ogółem</w:t>
            </w:r>
          </w:p>
        </w:tc>
        <w:tc>
          <w:tcPr>
            <w:tcW w:w="9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506</w:t>
            </w:r>
          </w:p>
        </w:tc>
        <w:tc>
          <w:tcPr>
            <w:tcW w:w="93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516</w:t>
            </w:r>
          </w:p>
        </w:tc>
        <w:tc>
          <w:tcPr>
            <w:tcW w:w="89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525</w:t>
            </w:r>
          </w:p>
        </w:tc>
        <w:tc>
          <w:tcPr>
            <w:tcW w:w="8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546</w:t>
            </w:r>
          </w:p>
        </w:tc>
        <w:tc>
          <w:tcPr>
            <w:tcW w:w="8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566</w:t>
            </w:r>
          </w:p>
        </w:tc>
        <w:tc>
          <w:tcPr>
            <w:tcW w:w="8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584</w:t>
            </w:r>
          </w:p>
        </w:tc>
      </w:tr>
      <w:tr>
        <w:trPr>
          <w:trHeight w:val="279" w:hRule="atLeast"/>
        </w:trPr>
        <w:tc>
          <w:tcPr>
            <w:tcW w:w="396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zatrudniający do 9 pracowników</w:t>
            </w:r>
          </w:p>
        </w:tc>
        <w:tc>
          <w:tcPr>
            <w:tcW w:w="910"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476</w:t>
            </w:r>
          </w:p>
        </w:tc>
        <w:tc>
          <w:tcPr>
            <w:tcW w:w="93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485</w:t>
            </w:r>
          </w:p>
        </w:tc>
        <w:tc>
          <w:tcPr>
            <w:tcW w:w="89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495</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518</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538</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558</w:t>
            </w:r>
          </w:p>
        </w:tc>
      </w:tr>
      <w:tr>
        <w:trPr>
          <w:trHeight w:val="279" w:hRule="atLeast"/>
        </w:trPr>
        <w:tc>
          <w:tcPr>
            <w:tcW w:w="396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zatrudniający od 10-49 pracowników</w:t>
            </w:r>
          </w:p>
        </w:tc>
        <w:tc>
          <w:tcPr>
            <w:tcW w:w="91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27</w:t>
            </w:r>
          </w:p>
        </w:tc>
        <w:tc>
          <w:tcPr>
            <w:tcW w:w="9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28</w:t>
            </w:r>
          </w:p>
        </w:tc>
        <w:tc>
          <w:tcPr>
            <w:tcW w:w="89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27</w:t>
            </w:r>
          </w:p>
        </w:tc>
        <w:tc>
          <w:tcPr>
            <w:tcW w:w="8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eastAsia="pl-PL"/>
              </w:rPr>
            </w:pPr>
            <w:r>
              <w:rPr>
                <w:rFonts w:cs="Calibri" w:cstheme="minorHAnsi"/>
                <w:color w:val="000000"/>
              </w:rPr>
              <w:t>25</w:t>
            </w:r>
          </w:p>
        </w:tc>
        <w:tc>
          <w:tcPr>
            <w:tcW w:w="8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25</w:t>
            </w:r>
          </w:p>
        </w:tc>
        <w:tc>
          <w:tcPr>
            <w:tcW w:w="8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23</w:t>
            </w:r>
          </w:p>
        </w:tc>
      </w:tr>
      <w:tr>
        <w:trPr>
          <w:trHeight w:val="279" w:hRule="atLeast"/>
        </w:trPr>
        <w:tc>
          <w:tcPr>
            <w:tcW w:w="396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zatrudniający od 50- 249 pracowników</w:t>
            </w:r>
          </w:p>
        </w:tc>
        <w:tc>
          <w:tcPr>
            <w:tcW w:w="910"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w:t>
            </w:r>
          </w:p>
        </w:tc>
        <w:tc>
          <w:tcPr>
            <w:tcW w:w="93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w:t>
            </w:r>
          </w:p>
        </w:tc>
        <w:tc>
          <w:tcPr>
            <w:tcW w:w="89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2</w:t>
            </w:r>
          </w:p>
        </w:tc>
      </w:tr>
      <w:tr>
        <w:trPr>
          <w:trHeight w:val="279" w:hRule="atLeast"/>
        </w:trPr>
        <w:tc>
          <w:tcPr>
            <w:tcW w:w="396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zatrudniający od 250- 999 pracowników</w:t>
            </w:r>
          </w:p>
        </w:tc>
        <w:tc>
          <w:tcPr>
            <w:tcW w:w="91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1</w:t>
            </w:r>
          </w:p>
        </w:tc>
        <w:tc>
          <w:tcPr>
            <w:tcW w:w="9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1</w:t>
            </w:r>
          </w:p>
        </w:tc>
        <w:tc>
          <w:tcPr>
            <w:tcW w:w="89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1</w:t>
            </w:r>
          </w:p>
        </w:tc>
        <w:tc>
          <w:tcPr>
            <w:tcW w:w="8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1</w:t>
            </w:r>
          </w:p>
        </w:tc>
        <w:tc>
          <w:tcPr>
            <w:tcW w:w="8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1</w:t>
            </w:r>
          </w:p>
        </w:tc>
        <w:tc>
          <w:tcPr>
            <w:tcW w:w="8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eastAsia="pl-PL"/>
              </w:rPr>
            </w:pPr>
            <w:r>
              <w:rPr>
                <w:rFonts w:cs="Calibri" w:cstheme="minorHAnsi"/>
                <w:color w:val="000000"/>
              </w:rPr>
              <w:t>1</w:t>
            </w:r>
          </w:p>
        </w:tc>
      </w:tr>
      <w:tr>
        <w:trPr>
          <w:trHeight w:val="279" w:hRule="atLeast"/>
        </w:trPr>
        <w:tc>
          <w:tcPr>
            <w:tcW w:w="3962"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zatrudniający od 1000 i więcej</w:t>
            </w:r>
          </w:p>
        </w:tc>
        <w:tc>
          <w:tcPr>
            <w:tcW w:w="91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93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89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c>
          <w:tcPr>
            <w:tcW w:w="892"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0</w:t>
            </w:r>
          </w:p>
        </w:tc>
      </w:tr>
    </w:tbl>
    <w:p>
      <w:pPr>
        <w:pStyle w:val="Normal"/>
        <w:spacing w:lineRule="auto" w:line="240" w:before="0" w:after="0"/>
        <w:jc w:val="center"/>
        <w:rPr>
          <w:rFonts w:cs="Calibri" w:cstheme="minorHAnsi"/>
          <w:sz w:val="20"/>
          <w:szCs w:val="20"/>
          <w:lang w:eastAsia="pl-PL"/>
        </w:rPr>
      </w:pPr>
      <w:bookmarkStart w:id="262" w:name="_Hlk118562313"/>
      <w:r>
        <w:rPr>
          <w:rFonts w:cs="Calibri" w:cstheme="minorHAnsi"/>
          <w:sz w:val="20"/>
          <w:szCs w:val="20"/>
          <w:lang w:eastAsia="pl-PL"/>
        </w:rPr>
        <w:t>Źródło: opracowanie własne na podstawie danych GUS</w:t>
      </w:r>
      <w:bookmarkEnd w:id="262"/>
    </w:p>
    <w:p>
      <w:pPr>
        <w:pStyle w:val="Normal"/>
        <w:shd w:val="clear" w:color="auto" w:fill="FFFFFF"/>
        <w:spacing w:lineRule="auto" w:line="240" w:before="0" w:after="0"/>
        <w:jc w:val="both"/>
        <w:rPr>
          <w:rFonts w:eastAsia="Times New Roman" w:cs="Calibri" w:cstheme="minorHAnsi"/>
          <w:highlight w:val="yellow"/>
          <w:lang w:eastAsia="pl-PL"/>
        </w:rPr>
      </w:pPr>
      <w:r>
        <w:rPr>
          <w:rFonts w:eastAsia="Times New Roman" w:cs="Calibri" w:cstheme="minorHAnsi"/>
          <w:highlight w:val="yellow"/>
          <w:lang w:eastAsia="pl-PL"/>
        </w:rPr>
      </w:r>
    </w:p>
    <w:p>
      <w:pPr>
        <w:pStyle w:val="NoSpacing"/>
        <w:jc w:val="center"/>
        <w:rPr>
          <w:sz w:val="20"/>
          <w:szCs w:val="20"/>
        </w:rPr>
      </w:pPr>
      <w:bookmarkStart w:id="263" w:name="_Toc100774726"/>
      <w:bookmarkStart w:id="264" w:name="_Toc118887795"/>
      <w:r>
        <w:rPr>
          <w:sz w:val="20"/>
          <w:szCs w:val="20"/>
        </w:rPr>
        <w:t xml:space="preserve">Tabela </w:t>
      </w:r>
      <w:r>
        <w:rPr>
          <w:sz w:val="20"/>
          <w:szCs w:val="20"/>
        </w:rPr>
        <w:fldChar w:fldCharType="begin"/>
      </w:r>
      <w:r>
        <w:rPr>
          <w:sz w:val="20"/>
          <w:szCs w:val="20"/>
        </w:rPr>
        <w:instrText xml:space="preserve"> SEQ Tabela \* ARABIC </w:instrText>
      </w:r>
      <w:r>
        <w:rPr>
          <w:sz w:val="20"/>
          <w:szCs w:val="20"/>
        </w:rPr>
        <w:fldChar w:fldCharType="separate"/>
      </w:r>
      <w:r>
        <w:rPr>
          <w:sz w:val="20"/>
          <w:szCs w:val="20"/>
        </w:rPr>
        <w:t>46</w:t>
      </w:r>
      <w:r>
        <w:rPr>
          <w:sz w:val="20"/>
          <w:szCs w:val="20"/>
        </w:rPr>
        <w:fldChar w:fldCharType="end"/>
      </w:r>
      <w:r>
        <w:rPr>
          <w:sz w:val="20"/>
          <w:szCs w:val="20"/>
        </w:rPr>
        <w:t xml:space="preserve"> Podmioty gospodarki narodowej wpisane do rejestru REGON w latach </w:t>
      </w:r>
      <w:bookmarkEnd w:id="255"/>
      <w:r>
        <w:rPr>
          <w:sz w:val="20"/>
          <w:szCs w:val="20"/>
        </w:rPr>
        <w:t>2016-2021</w:t>
      </w:r>
      <w:bookmarkEnd w:id="264"/>
      <w:r>
        <w:rPr>
          <w:sz w:val="20"/>
          <w:szCs w:val="20"/>
        </w:rPr>
        <w:t xml:space="preserve"> </w:t>
      </w:r>
    </w:p>
    <w:p>
      <w:pPr>
        <w:pStyle w:val="NoSpacing"/>
        <w:jc w:val="center"/>
        <w:rPr>
          <w:b/>
          <w:b/>
          <w:bCs/>
          <w:i/>
          <w:i/>
          <w:sz w:val="20"/>
          <w:szCs w:val="20"/>
        </w:rPr>
      </w:pPr>
      <w:bookmarkStart w:id="265" w:name="_Toc100774726"/>
      <w:r>
        <w:rPr>
          <w:sz w:val="20"/>
          <w:szCs w:val="20"/>
        </w:rPr>
        <w:t xml:space="preserve">na terenie Gminy </w:t>
      </w:r>
      <w:bookmarkEnd w:id="265"/>
      <w:r>
        <w:rPr>
          <w:sz w:val="20"/>
          <w:szCs w:val="20"/>
        </w:rPr>
        <w:t>Dwikozy  wg  form prawnych</w:t>
      </w:r>
    </w:p>
    <w:tbl>
      <w:tblPr>
        <w:tblW w:w="80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296"/>
        <w:gridCol w:w="803"/>
        <w:gridCol w:w="809"/>
        <w:gridCol w:w="811"/>
        <w:gridCol w:w="663"/>
        <w:gridCol w:w="778"/>
        <w:gridCol w:w="839"/>
      </w:tblGrid>
      <w:tr>
        <w:trPr>
          <w:trHeight w:val="288" w:hRule="atLeast"/>
        </w:trPr>
        <w:tc>
          <w:tcPr>
            <w:tcW w:w="329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Kategoria</w:t>
            </w:r>
          </w:p>
        </w:tc>
        <w:tc>
          <w:tcPr>
            <w:tcW w:w="803"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2016</w:t>
            </w:r>
          </w:p>
        </w:tc>
        <w:tc>
          <w:tcPr>
            <w:tcW w:w="80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2017</w:t>
            </w:r>
          </w:p>
        </w:tc>
        <w:tc>
          <w:tcPr>
            <w:tcW w:w="81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2018</w:t>
            </w:r>
          </w:p>
        </w:tc>
        <w:tc>
          <w:tcPr>
            <w:tcW w:w="663"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2019</w:t>
            </w:r>
          </w:p>
        </w:tc>
        <w:tc>
          <w:tcPr>
            <w:tcW w:w="778"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2020</w:t>
            </w:r>
          </w:p>
        </w:tc>
        <w:tc>
          <w:tcPr>
            <w:tcW w:w="8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2021</w:t>
            </w:r>
          </w:p>
        </w:tc>
      </w:tr>
      <w:tr>
        <w:trPr>
          <w:trHeight w:val="288" w:hRule="atLeast"/>
        </w:trPr>
        <w:tc>
          <w:tcPr>
            <w:tcW w:w="329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sektor prywatny ogółem</w:t>
            </w:r>
          </w:p>
        </w:tc>
        <w:tc>
          <w:tcPr>
            <w:tcW w:w="80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494</w:t>
            </w:r>
          </w:p>
        </w:tc>
        <w:tc>
          <w:tcPr>
            <w:tcW w:w="8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505</w:t>
            </w:r>
          </w:p>
        </w:tc>
        <w:tc>
          <w:tcPr>
            <w:tcW w:w="81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513</w:t>
            </w:r>
          </w:p>
        </w:tc>
        <w:tc>
          <w:tcPr>
            <w:tcW w:w="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535</w:t>
            </w:r>
          </w:p>
        </w:tc>
        <w:tc>
          <w:tcPr>
            <w:tcW w:w="77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554</w:t>
            </w:r>
          </w:p>
        </w:tc>
        <w:tc>
          <w:tcPr>
            <w:tcW w:w="8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569</w:t>
            </w:r>
          </w:p>
        </w:tc>
      </w:tr>
      <w:tr>
        <w:trPr>
          <w:trHeight w:val="288" w:hRule="atLeast"/>
        </w:trPr>
        <w:tc>
          <w:tcPr>
            <w:tcW w:w="3296"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osoby fizyczne prowadzące działalność gospodarczą</w:t>
            </w:r>
          </w:p>
        </w:tc>
        <w:tc>
          <w:tcPr>
            <w:tcW w:w="803"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381</w:t>
            </w:r>
          </w:p>
        </w:tc>
        <w:tc>
          <w:tcPr>
            <w:tcW w:w="80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394</w:t>
            </w:r>
          </w:p>
        </w:tc>
        <w:tc>
          <w:tcPr>
            <w:tcW w:w="81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399</w:t>
            </w:r>
          </w:p>
        </w:tc>
        <w:tc>
          <w:tcPr>
            <w:tcW w:w="663"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417</w:t>
            </w:r>
          </w:p>
        </w:tc>
        <w:tc>
          <w:tcPr>
            <w:tcW w:w="778"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435</w:t>
            </w:r>
          </w:p>
        </w:tc>
        <w:tc>
          <w:tcPr>
            <w:tcW w:w="8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450</w:t>
            </w:r>
          </w:p>
        </w:tc>
      </w:tr>
      <w:tr>
        <w:trPr>
          <w:trHeight w:val="288" w:hRule="atLeast"/>
        </w:trPr>
        <w:tc>
          <w:tcPr>
            <w:tcW w:w="329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spółki handlowe</w:t>
            </w:r>
          </w:p>
        </w:tc>
        <w:tc>
          <w:tcPr>
            <w:tcW w:w="80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24</w:t>
            </w:r>
          </w:p>
        </w:tc>
        <w:tc>
          <w:tcPr>
            <w:tcW w:w="8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w:t>
            </w:r>
          </w:p>
        </w:tc>
        <w:tc>
          <w:tcPr>
            <w:tcW w:w="81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w:t>
            </w:r>
          </w:p>
        </w:tc>
        <w:tc>
          <w:tcPr>
            <w:tcW w:w="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25</w:t>
            </w:r>
          </w:p>
        </w:tc>
        <w:tc>
          <w:tcPr>
            <w:tcW w:w="77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26</w:t>
            </w:r>
          </w:p>
        </w:tc>
        <w:tc>
          <w:tcPr>
            <w:tcW w:w="8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24</w:t>
            </w:r>
          </w:p>
        </w:tc>
      </w:tr>
      <w:tr>
        <w:trPr>
          <w:trHeight w:val="288" w:hRule="atLeast"/>
        </w:trPr>
        <w:tc>
          <w:tcPr>
            <w:tcW w:w="3296"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spółki handlowe z udziałem kapitału zagranicznego</w:t>
            </w:r>
          </w:p>
        </w:tc>
        <w:tc>
          <w:tcPr>
            <w:tcW w:w="803"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w:t>
            </w:r>
          </w:p>
        </w:tc>
        <w:tc>
          <w:tcPr>
            <w:tcW w:w="80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w:t>
            </w:r>
          </w:p>
        </w:tc>
        <w:tc>
          <w:tcPr>
            <w:tcW w:w="81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w:t>
            </w:r>
          </w:p>
        </w:tc>
        <w:tc>
          <w:tcPr>
            <w:tcW w:w="663"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w:t>
            </w:r>
          </w:p>
        </w:tc>
        <w:tc>
          <w:tcPr>
            <w:tcW w:w="778"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w:t>
            </w:r>
          </w:p>
        </w:tc>
        <w:tc>
          <w:tcPr>
            <w:tcW w:w="8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w:t>
            </w:r>
          </w:p>
        </w:tc>
      </w:tr>
      <w:tr>
        <w:trPr>
          <w:trHeight w:val="288" w:hRule="atLeast"/>
        </w:trPr>
        <w:tc>
          <w:tcPr>
            <w:tcW w:w="329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spółdzielnie</w:t>
            </w:r>
          </w:p>
        </w:tc>
        <w:tc>
          <w:tcPr>
            <w:tcW w:w="80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w:t>
            </w:r>
          </w:p>
        </w:tc>
        <w:tc>
          <w:tcPr>
            <w:tcW w:w="8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w:t>
            </w:r>
          </w:p>
        </w:tc>
        <w:tc>
          <w:tcPr>
            <w:tcW w:w="81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77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8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r>
      <w:tr>
        <w:trPr>
          <w:trHeight w:val="288" w:hRule="atLeast"/>
        </w:trPr>
        <w:tc>
          <w:tcPr>
            <w:tcW w:w="3296"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fundacje</w:t>
            </w:r>
          </w:p>
        </w:tc>
        <w:tc>
          <w:tcPr>
            <w:tcW w:w="803"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80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81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663"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0</w:t>
            </w:r>
          </w:p>
        </w:tc>
        <w:tc>
          <w:tcPr>
            <w:tcW w:w="778"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c>
          <w:tcPr>
            <w:tcW w:w="8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w:t>
            </w:r>
          </w:p>
        </w:tc>
      </w:tr>
      <w:tr>
        <w:trPr>
          <w:trHeight w:val="288" w:hRule="atLeast"/>
        </w:trPr>
        <w:tc>
          <w:tcPr>
            <w:tcW w:w="329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rPr>
            </w:pPr>
            <w:r>
              <w:rPr>
                <w:rFonts w:eastAsia="Times New Roman" w:cs="Calibri" w:cstheme="minorHAnsi"/>
              </w:rPr>
              <w:t>stowarzyszenia i podobne organizacje społeczne</w:t>
            </w:r>
          </w:p>
        </w:tc>
        <w:tc>
          <w:tcPr>
            <w:tcW w:w="80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27</w:t>
            </w:r>
          </w:p>
        </w:tc>
        <w:tc>
          <w:tcPr>
            <w:tcW w:w="8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28</w:t>
            </w:r>
          </w:p>
        </w:tc>
        <w:tc>
          <w:tcPr>
            <w:tcW w:w="81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28</w:t>
            </w:r>
          </w:p>
        </w:tc>
        <w:tc>
          <w:tcPr>
            <w:tcW w:w="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28</w:t>
            </w:r>
          </w:p>
        </w:tc>
        <w:tc>
          <w:tcPr>
            <w:tcW w:w="77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28</w:t>
            </w:r>
          </w:p>
        </w:tc>
        <w:tc>
          <w:tcPr>
            <w:tcW w:w="8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29</w:t>
            </w:r>
          </w:p>
        </w:tc>
      </w:tr>
    </w:tbl>
    <w:p>
      <w:pPr>
        <w:pStyle w:val="Normal"/>
        <w:spacing w:lineRule="auto" w:line="240" w:before="0" w:after="0"/>
        <w:jc w:val="center"/>
        <w:rPr>
          <w:rFonts w:eastAsia="Times New Roman" w:cs="Calibri" w:cstheme="minorHAnsi"/>
          <w:sz w:val="20"/>
          <w:szCs w:val="20"/>
          <w:lang w:eastAsia="pl-PL"/>
        </w:rPr>
      </w:pPr>
      <w:r>
        <w:rPr>
          <w:rFonts w:eastAsia="Times New Roman" w:cs="Calibri" w:cstheme="minorHAnsi"/>
          <w:sz w:val="20"/>
          <w:szCs w:val="20"/>
          <w:lang w:eastAsia="pl-PL"/>
        </w:rPr>
        <w:t>Źródło:</w:t>
      </w:r>
      <w:r>
        <w:rPr>
          <w:rFonts w:cs="Calibri" w:cstheme="minorHAnsi"/>
          <w:sz w:val="20"/>
          <w:szCs w:val="20"/>
        </w:rPr>
        <w:t xml:space="preserve"> </w:t>
      </w:r>
      <w:r>
        <w:rPr>
          <w:rFonts w:eastAsia="Times New Roman" w:cs="Calibri" w:cstheme="minorHAnsi"/>
          <w:sz w:val="20"/>
          <w:szCs w:val="20"/>
          <w:lang w:eastAsia="pl-PL"/>
        </w:rPr>
        <w:t>opracowanie własne na podstawie danych GUS</w:t>
      </w:r>
    </w:p>
    <w:p>
      <w:pPr>
        <w:pStyle w:val="Normal"/>
        <w:spacing w:lineRule="auto" w:line="240" w:before="0" w:after="0"/>
        <w:rPr>
          <w:rFonts w:eastAsia="Times New Roman" w:cs="Calibri" w:cstheme="minorHAnsi"/>
          <w:sz w:val="20"/>
          <w:szCs w:val="20"/>
          <w:lang w:eastAsia="pl-PL"/>
        </w:rPr>
      </w:pPr>
      <w:r>
        <w:rPr>
          <w:rFonts w:eastAsia="Times New Roman" w:cs="Calibri" w:cstheme="minorHAnsi"/>
          <w:sz w:val="20"/>
          <w:szCs w:val="20"/>
          <w:lang w:eastAsia="pl-PL"/>
        </w:rPr>
      </w:r>
    </w:p>
    <w:p>
      <w:pPr>
        <w:pStyle w:val="Normal"/>
        <w:spacing w:lineRule="auto" w:line="240" w:before="0" w:after="0"/>
        <w:rPr>
          <w:rFonts w:eastAsia="Times New Roman" w:cs="Calibri" w:cstheme="minorHAnsi"/>
          <w:lang w:eastAsia="pl-PL"/>
        </w:rPr>
      </w:pPr>
      <w:r>
        <w:rPr>
          <w:rFonts w:eastAsia="Times New Roman" w:cs="Calibri" w:cstheme="minorHAnsi"/>
          <w:lang w:eastAsia="pl-PL"/>
        </w:rPr>
        <w:t>W latach 2015-2021 saldo (nowo zarejestrowane podmiotu minus wyrejestrowane) wynosi 128.</w:t>
      </w:r>
    </w:p>
    <w:p>
      <w:pPr>
        <w:pStyle w:val="Normal"/>
        <w:spacing w:lineRule="auto" w:line="240" w:before="0" w:after="0"/>
        <w:jc w:val="center"/>
        <w:rPr>
          <w:rFonts w:eastAsia="Times New Roman" w:cs="Calibri" w:cstheme="minorHAnsi"/>
          <w:sz w:val="20"/>
          <w:szCs w:val="20"/>
          <w:lang w:eastAsia="pl-PL"/>
        </w:rPr>
      </w:pPr>
      <w:r>
        <w:rPr>
          <w:rFonts w:eastAsia="Times New Roman" w:cs="Calibri" w:cstheme="minorHAnsi"/>
          <w:sz w:val="20"/>
          <w:szCs w:val="20"/>
          <w:lang w:eastAsia="pl-PL"/>
        </w:rPr>
      </w:r>
    </w:p>
    <w:p>
      <w:pPr>
        <w:pStyle w:val="NoSpacing"/>
        <w:jc w:val="center"/>
        <w:rPr>
          <w:sz w:val="20"/>
          <w:szCs w:val="20"/>
        </w:rPr>
      </w:pPr>
      <w:bookmarkStart w:id="266" w:name="_Hlk118699108"/>
      <w:bookmarkStart w:id="267" w:name="_Toc118887796"/>
      <w:bookmarkEnd w:id="266"/>
      <w:r>
        <w:rPr>
          <w:sz w:val="20"/>
          <w:szCs w:val="20"/>
        </w:rPr>
        <w:t xml:space="preserve">Tabela </w:t>
      </w:r>
      <w:r>
        <w:rPr>
          <w:sz w:val="20"/>
          <w:szCs w:val="20"/>
        </w:rPr>
        <w:fldChar w:fldCharType="begin"/>
      </w:r>
      <w:r>
        <w:rPr>
          <w:sz w:val="20"/>
          <w:szCs w:val="20"/>
        </w:rPr>
        <w:instrText xml:space="preserve"> SEQ Tabela \* ARABIC </w:instrText>
      </w:r>
      <w:r>
        <w:rPr>
          <w:sz w:val="20"/>
          <w:szCs w:val="20"/>
        </w:rPr>
        <w:fldChar w:fldCharType="separate"/>
      </w:r>
      <w:r>
        <w:rPr>
          <w:sz w:val="20"/>
          <w:szCs w:val="20"/>
        </w:rPr>
        <w:t>47</w:t>
      </w:r>
      <w:r>
        <w:rPr>
          <w:sz w:val="20"/>
          <w:szCs w:val="20"/>
        </w:rPr>
        <w:fldChar w:fldCharType="end"/>
      </w:r>
      <w:r>
        <w:rPr>
          <w:sz w:val="20"/>
          <w:szCs w:val="20"/>
        </w:rPr>
        <w:t xml:space="preserve"> Podmioty nowo zarejestrowane i wyrejestrowane wpisane do rejestru REGON w Gminy Dwikozy  </w:t>
        <w:br/>
        <w:t>w latach 2015-2021</w:t>
      </w:r>
      <w:bookmarkEnd w:id="267"/>
      <w:r>
        <w:rPr>
          <w:sz w:val="20"/>
          <w:szCs w:val="20"/>
        </w:rPr>
        <w:t xml:space="preserve"> </w:t>
      </w:r>
    </w:p>
    <w:tbl>
      <w:tblPr>
        <w:tblW w:w="10000"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3140"/>
        <w:gridCol w:w="1100"/>
        <w:gridCol w:w="960"/>
        <w:gridCol w:w="960"/>
        <w:gridCol w:w="960"/>
        <w:gridCol w:w="960"/>
        <w:gridCol w:w="960"/>
        <w:gridCol w:w="958"/>
      </w:tblGrid>
      <w:tr>
        <w:trPr>
          <w:trHeight w:val="300" w:hRule="atLeast"/>
        </w:trPr>
        <w:tc>
          <w:tcPr>
            <w:tcW w:w="3140" w:type="dxa"/>
            <w:tcBorders>
              <w:top w:val="single" w:sz="4" w:space="0" w:color="000000"/>
              <w:left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Kategoria</w:t>
            </w:r>
          </w:p>
        </w:tc>
        <w:tc>
          <w:tcPr>
            <w:tcW w:w="1100"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eastAsia="pl-PL"/>
              </w:rPr>
              <w:t>2015</w:t>
            </w:r>
          </w:p>
        </w:tc>
        <w:tc>
          <w:tcPr>
            <w:tcW w:w="960"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2016</w:t>
            </w:r>
          </w:p>
        </w:tc>
        <w:tc>
          <w:tcPr>
            <w:tcW w:w="960"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2017</w:t>
            </w:r>
          </w:p>
        </w:tc>
        <w:tc>
          <w:tcPr>
            <w:tcW w:w="960"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2018</w:t>
            </w:r>
          </w:p>
        </w:tc>
        <w:tc>
          <w:tcPr>
            <w:tcW w:w="960"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2019</w:t>
            </w:r>
          </w:p>
        </w:tc>
        <w:tc>
          <w:tcPr>
            <w:tcW w:w="960"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2020</w:t>
            </w:r>
          </w:p>
        </w:tc>
        <w:tc>
          <w:tcPr>
            <w:tcW w:w="958" w:type="dxa"/>
            <w:tcBorders>
              <w:top w:val="single" w:sz="4" w:space="0" w:color="000000"/>
              <w:bottom w:val="single" w:sz="4" w:space="0" w:color="000000"/>
              <w:right w:val="single" w:sz="4" w:space="0" w:color="000000"/>
            </w:tcBorders>
            <w:shd w:color="000000" w:fill="FFF2CC" w:val="clear"/>
            <w:vAlign w:val="center"/>
          </w:tcPr>
          <w:p>
            <w:pPr>
              <w:pStyle w:val="Normal"/>
              <w:widowControl w:val="false"/>
              <w:spacing w:lineRule="auto" w:line="240" w:before="0" w:after="0"/>
              <w:jc w:val="center"/>
              <w:rPr>
                <w:rFonts w:ascii="Calibri" w:hAnsi="Calibri" w:eastAsia="Times New Roman" w:cs="Calibri"/>
                <w:b/>
                <w:b/>
                <w:bCs/>
                <w:color w:val="000000"/>
                <w:lang w:eastAsia="pl-PL"/>
              </w:rPr>
            </w:pPr>
            <w:r>
              <w:rPr>
                <w:rFonts w:eastAsia="Times New Roman" w:cs="Calibri"/>
                <w:b/>
                <w:bCs/>
                <w:color w:val="000000"/>
                <w:lang w:val="en-US" w:eastAsia="pl-PL"/>
              </w:rPr>
              <w:t>2021</w:t>
            </w:r>
          </w:p>
        </w:tc>
      </w:tr>
      <w:tr>
        <w:trPr>
          <w:trHeight w:val="300" w:hRule="atLeast"/>
        </w:trPr>
        <w:tc>
          <w:tcPr>
            <w:tcW w:w="31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Podmioty nowo zarejestrowane</w:t>
            </w:r>
          </w:p>
        </w:tc>
        <w:tc>
          <w:tcPr>
            <w:tcW w:w="11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26</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44</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37</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42</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47</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41</w:t>
            </w:r>
          </w:p>
        </w:tc>
        <w:tc>
          <w:tcPr>
            <w:tcW w:w="9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49</w:t>
            </w:r>
          </w:p>
        </w:tc>
      </w:tr>
      <w:tr>
        <w:trPr>
          <w:trHeight w:val="300" w:hRule="atLeast"/>
        </w:trPr>
        <w:tc>
          <w:tcPr>
            <w:tcW w:w="3140" w:type="dxa"/>
            <w:tcBorders>
              <w:left w:val="single" w:sz="4" w:space="0" w:color="000000"/>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Podmioty wyrejestrowane</w:t>
            </w:r>
          </w:p>
        </w:tc>
        <w:tc>
          <w:tcPr>
            <w:tcW w:w="1100"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19</w:t>
            </w:r>
          </w:p>
        </w:tc>
        <w:tc>
          <w:tcPr>
            <w:tcW w:w="960"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28</w:t>
            </w:r>
          </w:p>
        </w:tc>
        <w:tc>
          <w:tcPr>
            <w:tcW w:w="960"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25</w:t>
            </w:r>
          </w:p>
        </w:tc>
        <w:tc>
          <w:tcPr>
            <w:tcW w:w="960"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26</w:t>
            </w:r>
          </w:p>
        </w:tc>
        <w:tc>
          <w:tcPr>
            <w:tcW w:w="960"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20</w:t>
            </w:r>
          </w:p>
        </w:tc>
        <w:tc>
          <w:tcPr>
            <w:tcW w:w="960"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16</w:t>
            </w:r>
          </w:p>
        </w:tc>
        <w:tc>
          <w:tcPr>
            <w:tcW w:w="958" w:type="dxa"/>
            <w:tcBorders>
              <w:bottom w:val="single" w:sz="4" w:space="0" w:color="000000"/>
              <w:right w:val="single" w:sz="4" w:space="0" w:color="000000"/>
            </w:tcBorders>
            <w:shd w:color="000000" w:fill="E2EFD9"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24</w:t>
            </w:r>
          </w:p>
        </w:tc>
      </w:tr>
      <w:tr>
        <w:trPr>
          <w:trHeight w:val="300" w:hRule="atLeast"/>
        </w:trPr>
        <w:tc>
          <w:tcPr>
            <w:tcW w:w="31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Saldo</w:t>
            </w:r>
          </w:p>
        </w:tc>
        <w:tc>
          <w:tcPr>
            <w:tcW w:w="11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eastAsia="pl-PL"/>
              </w:rPr>
              <w:t>7</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16</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12</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16</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27</w:t>
            </w:r>
          </w:p>
        </w:tc>
        <w:tc>
          <w:tcPr>
            <w:tcW w:w="9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25</w:t>
            </w:r>
          </w:p>
        </w:tc>
        <w:tc>
          <w:tcPr>
            <w:tcW w:w="9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lang w:eastAsia="pl-PL"/>
              </w:rPr>
            </w:pPr>
            <w:r>
              <w:rPr>
                <w:rFonts w:eastAsia="Times New Roman" w:cs="Calibri"/>
                <w:color w:val="000000"/>
                <w:lang w:val="en-US" w:eastAsia="pl-PL"/>
              </w:rPr>
              <w:t>25</w:t>
            </w:r>
          </w:p>
        </w:tc>
      </w:tr>
    </w:tbl>
    <w:p>
      <w:pPr>
        <w:pStyle w:val="Normal"/>
        <w:spacing w:lineRule="auto" w:line="240" w:before="0" w:after="0"/>
        <w:jc w:val="center"/>
        <w:rPr>
          <w:rFonts w:eastAsia="Times New Roman" w:cs="Calibri" w:cstheme="minorHAnsi"/>
          <w:sz w:val="20"/>
          <w:szCs w:val="20"/>
          <w:lang w:eastAsia="pl-PL"/>
        </w:rPr>
      </w:pPr>
      <w:r>
        <w:rPr>
          <w:rFonts w:eastAsia="Times New Roman" w:cs="Calibri" w:cstheme="minorHAnsi"/>
          <w:sz w:val="20"/>
          <w:szCs w:val="20"/>
          <w:lang w:eastAsia="pl-PL"/>
        </w:rPr>
        <w:t>Źródło:</w:t>
      </w:r>
      <w:r>
        <w:rPr>
          <w:rFonts w:cs="Calibri" w:cstheme="minorHAnsi"/>
          <w:sz w:val="20"/>
          <w:szCs w:val="20"/>
        </w:rPr>
        <w:t xml:space="preserve"> </w:t>
      </w:r>
      <w:r>
        <w:rPr>
          <w:rFonts w:eastAsia="Times New Roman" w:cs="Calibri" w:cstheme="minorHAnsi"/>
          <w:sz w:val="20"/>
          <w:szCs w:val="20"/>
          <w:lang w:eastAsia="pl-PL"/>
        </w:rPr>
        <w:t>opracowanie własne na podstawie danych GUS</w:t>
      </w:r>
    </w:p>
    <w:p>
      <w:pPr>
        <w:pStyle w:val="Normal"/>
        <w:spacing w:lineRule="auto" w:line="240" w:before="0" w:after="0"/>
        <w:rPr>
          <w:rFonts w:eastAsia="Times New Roman" w:cs="Calibri" w:cstheme="minorHAnsi"/>
          <w:highlight w:val="yellow"/>
          <w:lang w:eastAsia="pl-PL"/>
        </w:rPr>
      </w:pPr>
      <w:r>
        <w:rPr>
          <w:rFonts w:eastAsia="Times New Roman" w:cs="Calibri" w:cstheme="minorHAnsi"/>
          <w:highlight w:val="yellow"/>
          <w:lang w:eastAsia="pl-PL"/>
        </w:rPr>
      </w:r>
      <w:bookmarkStart w:id="268" w:name="_Hlk118699108"/>
      <w:bookmarkStart w:id="269" w:name="_Hlk118699108"/>
      <w:bookmarkEnd w:id="269"/>
    </w:p>
    <w:p>
      <w:pPr>
        <w:pStyle w:val="Nagwek2"/>
        <w:numPr>
          <w:ilvl w:val="1"/>
          <w:numId w:val="11"/>
        </w:numPr>
        <w:spacing w:lineRule="auto" w:line="240" w:before="0" w:after="120"/>
        <w:ind w:left="432" w:hanging="432"/>
        <w:rPr>
          <w:rFonts w:ascii="Calibri" w:hAnsi="Calibri" w:cs="Calibri" w:asciiTheme="minorHAnsi" w:cstheme="minorHAnsi" w:hAnsiTheme="minorHAnsi"/>
          <w:i w:val="false"/>
          <w:i w:val="false"/>
          <w:iCs w:val="false"/>
        </w:rPr>
      </w:pPr>
      <w:r>
        <w:rPr>
          <w:rFonts w:cs="Calibri" w:ascii="Calibri" w:hAnsi="Calibri" w:asciiTheme="minorHAnsi" w:cstheme="minorHAnsi" w:hAnsiTheme="minorHAnsi"/>
          <w:i w:val="false"/>
          <w:iCs w:val="false"/>
        </w:rPr>
        <w:t xml:space="preserve"> </w:t>
      </w:r>
      <w:bookmarkStart w:id="270" w:name="_Toc118887473"/>
      <w:r>
        <w:rPr>
          <w:rFonts w:cs="Calibri" w:ascii="Calibri" w:hAnsi="Calibri" w:asciiTheme="minorHAnsi" w:cstheme="minorHAnsi" w:hAnsiTheme="minorHAnsi"/>
          <w:i w:val="false"/>
          <w:iCs w:val="false"/>
        </w:rPr>
        <w:t>Gospodarka mieszkaniowa</w:t>
      </w:r>
      <w:bookmarkEnd w:id="270"/>
      <w:r>
        <w:rPr>
          <w:rFonts w:cs="Calibri" w:ascii="Calibri" w:hAnsi="Calibri" w:asciiTheme="minorHAnsi" w:cstheme="minorHAnsi" w:hAnsiTheme="minorHAnsi"/>
          <w:i w:val="false"/>
          <w:iCs w:val="false"/>
        </w:rPr>
        <w:t xml:space="preserve"> </w:t>
      </w:r>
    </w:p>
    <w:p>
      <w:pPr>
        <w:pStyle w:val="NoSpacing"/>
        <w:jc w:val="both"/>
        <w:rPr>
          <w:rStyle w:val="BezodstpwZnak"/>
          <w:lang w:eastAsia="pl-PL"/>
        </w:rPr>
      </w:pPr>
      <w:r>
        <w:rPr>
          <w:rFonts w:eastAsia="Times New Roman" w:cs="Calibri" w:cstheme="minorHAnsi"/>
          <w:lang w:eastAsia="pl-PL"/>
        </w:rPr>
        <w:t xml:space="preserve">W 2021r. w gminie Dwikozy oddano do użytku 15 </w:t>
      </w:r>
      <w:r>
        <w:rPr>
          <w:rStyle w:val="BezodstpwZnak"/>
        </w:rPr>
        <w:t>mieszkań. N</w:t>
      </w:r>
      <w:r>
        <w:rPr>
          <w:rStyle w:val="BezodstpwZnak"/>
          <w:lang w:eastAsia="pl-PL"/>
        </w:rPr>
        <w:t>a każdych 1000 mieszkańców oddano więc do użytku 1,75 nowych lokali i jest to wartość znacznie mniejsza od wartości dla województwa świętokrzyskiego oraz średniej dla całego kraju. Całkowite zasoby mieszkaniowe w gminie Dwikozy to 2 896 nieruchomości. Na każdych 1000 mieszkańców przypadają zatem 335 mieszkania i jest to wartość mniejsza od wartości dla województwa świętokrzyskiego oraz znacznie mniejsza od średniej dla całego kraju. Krótka charakterystyka gospodarki mieszkaniowej w 2021r.:</w:t>
      </w:r>
    </w:p>
    <w:p>
      <w:pPr>
        <w:pStyle w:val="NoSpacing"/>
        <w:numPr>
          <w:ilvl w:val="0"/>
          <w:numId w:val="45"/>
        </w:numPr>
        <w:jc w:val="both"/>
        <w:rPr>
          <w:rStyle w:val="BezodstpwZnak"/>
          <w:lang w:eastAsia="pl-PL"/>
        </w:rPr>
      </w:pPr>
      <w:r>
        <w:rPr>
          <w:rStyle w:val="BezodstpwZnak"/>
          <w:lang w:eastAsia="pl-PL"/>
        </w:rPr>
        <w:t>100,0% mieszkań zostało przeznaczonych na cele indywidualne,</w:t>
      </w:r>
    </w:p>
    <w:p>
      <w:pPr>
        <w:pStyle w:val="NoSpacing"/>
        <w:numPr>
          <w:ilvl w:val="0"/>
          <w:numId w:val="45"/>
        </w:numPr>
        <w:jc w:val="both"/>
        <w:rPr>
          <w:rStyle w:val="BezodstpwZnak"/>
          <w:lang w:eastAsia="pl-PL"/>
        </w:rPr>
      </w:pPr>
      <w:r>
        <w:rPr>
          <w:rStyle w:val="BezodstpwZnak"/>
          <w:lang w:eastAsia="pl-PL"/>
        </w:rPr>
        <w:t>przeciętna liczba pokoi w nowo oddanych mieszkaniach w gminie Dwikozy to 5,73 i jest wartość znacznie większa od przeciętnej liczby pokoi dla województwa świętokrzyskiego oraz  średniej dla całego kraju,</w:t>
      </w:r>
    </w:p>
    <w:p>
      <w:pPr>
        <w:pStyle w:val="NoSpacing"/>
        <w:numPr>
          <w:ilvl w:val="0"/>
          <w:numId w:val="45"/>
        </w:numPr>
        <w:jc w:val="both"/>
        <w:rPr>
          <w:rStyle w:val="BezodstpwZnak"/>
          <w:lang w:eastAsia="pl-PL"/>
        </w:rPr>
      </w:pPr>
      <w:r>
        <w:rPr>
          <w:rStyle w:val="BezodstpwZnak"/>
          <w:lang w:eastAsia="pl-PL"/>
        </w:rPr>
        <w:t>przeciętna powierzchnia użytkowa nieruchomości oddanej do użytkowania wynosiła 153,0 m</w:t>
      </w:r>
      <w:r>
        <w:rPr>
          <w:rStyle w:val="BezodstpwZnak"/>
          <w:rFonts w:cs="Calibri"/>
          <w:lang w:eastAsia="pl-PL"/>
        </w:rPr>
        <w:t>²</w:t>
      </w:r>
      <w:r>
        <w:rPr>
          <w:rStyle w:val="BezodstpwZnak"/>
          <w:lang w:eastAsia="pl-PL"/>
        </w:rPr>
        <w:t xml:space="preserve"> i jest to wartość znacznie większa od przeciętnej powierzchni użytkowej dla województwa świętokrzyskiego oraz znacznie większa od przeciętnej powierzchni nieruchomości w całej Polsce.</w:t>
      </w:r>
    </w:p>
    <w:p>
      <w:pPr>
        <w:pStyle w:val="Normal"/>
        <w:rPr>
          <w:rFonts w:eastAsia="Times New Roman" w:cs="Calibri" w:cstheme="minorHAnsi"/>
          <w:lang w:eastAsia="pl-PL"/>
        </w:rPr>
      </w:pPr>
      <w:r>
        <w:rPr>
          <w:rFonts w:eastAsia="Times New Roman" w:cs="Calibri" w:cstheme="minorHAnsi"/>
          <w:lang w:eastAsia="pl-PL"/>
        </w:rPr>
      </w:r>
      <w:r>
        <w:br w:type="page"/>
      </w:r>
    </w:p>
    <w:p>
      <w:pPr>
        <w:pStyle w:val="Caption"/>
        <w:spacing w:lineRule="auto" w:line="240" w:before="0" w:after="0"/>
        <w:jc w:val="center"/>
        <w:rPr>
          <w:rFonts w:ascii="Calibri" w:hAnsi="Calibri" w:cs="Calibri" w:asciiTheme="minorHAnsi" w:cstheme="minorHAnsi" w:hAnsiTheme="minorHAnsi"/>
          <w:b w:val="false"/>
          <w:b w:val="false"/>
          <w:bCs w:val="false"/>
          <w:i/>
          <w:i/>
          <w:iCs/>
        </w:rPr>
      </w:pPr>
      <w:bookmarkStart w:id="271" w:name="_Toc118887797"/>
      <w:bookmarkStart w:id="272" w:name="_Toc100774671"/>
      <w:r>
        <w:rPr>
          <w:rFonts w:cs="Calibri" w:cstheme="minorHAnsi"/>
          <w:b w:val="false"/>
          <w:bCs w:val="false"/>
        </w:rPr>
        <w:t xml:space="preserve">Tabela </w:t>
      </w:r>
      <w:r>
        <w:rPr>
          <w:rFonts w:cs="Calibri" w:cstheme="minorHAnsi"/>
          <w:b w:val="false"/>
          <w:bCs w:val="false"/>
          <w:i/>
          <w:iCs/>
        </w:rPr>
        <w:fldChar w:fldCharType="begin"/>
      </w:r>
      <w:r>
        <w:rPr>
          <w:i/>
          <w:b w:val="false"/>
          <w:iCs/>
          <w:bCs w:val="false"/>
          <w:rFonts w:cs="Calibri"/>
        </w:rPr>
        <w:instrText xml:space="preserve"> SEQ Tabela \* ARABIC </w:instrText>
      </w:r>
      <w:r>
        <w:rPr>
          <w:i/>
          <w:b w:val="false"/>
          <w:iCs/>
          <w:bCs w:val="false"/>
          <w:rFonts w:cs="Calibri"/>
        </w:rPr>
        <w:fldChar w:fldCharType="separate"/>
      </w:r>
      <w:r>
        <w:rPr>
          <w:i/>
          <w:b w:val="false"/>
          <w:iCs/>
          <w:bCs w:val="false"/>
          <w:rFonts w:cs="Calibri"/>
        </w:rPr>
        <w:t>48</w:t>
      </w:r>
      <w:r>
        <w:rPr>
          <w:i/>
          <w:b w:val="false"/>
          <w:iCs/>
          <w:bCs w:val="false"/>
          <w:rFonts w:cs="Calibri"/>
        </w:rPr>
        <w:fldChar w:fldCharType="end"/>
      </w:r>
      <w:r>
        <w:rPr>
          <w:rFonts w:cs="Calibri" w:cstheme="minorHAnsi"/>
          <w:b w:val="false"/>
          <w:bCs w:val="false"/>
        </w:rPr>
        <w:t xml:space="preserve"> Liczba mieszkań na terenie Gminy Dwikozy w latach 2016-202</w:t>
      </w:r>
      <w:bookmarkEnd w:id="272"/>
      <w:r>
        <w:rPr>
          <w:rFonts w:cs="Calibri" w:cstheme="minorHAnsi"/>
          <w:b w:val="false"/>
          <w:bCs w:val="false"/>
        </w:rPr>
        <w:t>1</w:t>
      </w:r>
      <w:bookmarkEnd w:id="271"/>
    </w:p>
    <w:tbl>
      <w:tblPr>
        <w:tblW w:w="9312"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3960"/>
        <w:gridCol w:w="891"/>
        <w:gridCol w:w="892"/>
        <w:gridCol w:w="892"/>
        <w:gridCol w:w="892"/>
        <w:gridCol w:w="892"/>
        <w:gridCol w:w="892"/>
      </w:tblGrid>
      <w:tr>
        <w:trPr>
          <w:trHeight w:val="542" w:hRule="atLeast"/>
        </w:trPr>
        <w:tc>
          <w:tcPr>
            <w:tcW w:w="396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kategoria</w:t>
            </w:r>
          </w:p>
        </w:tc>
        <w:tc>
          <w:tcPr>
            <w:tcW w:w="89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2016</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2017</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2018</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2019</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2020</w:t>
            </w:r>
          </w:p>
        </w:tc>
        <w:tc>
          <w:tcPr>
            <w:tcW w:w="892"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lang w:eastAsia="pl-PL"/>
              </w:rPr>
            </w:pPr>
            <w:r>
              <w:rPr>
                <w:rFonts w:eastAsia="Times New Roman" w:cs="Calibri" w:cstheme="minorHAnsi"/>
                <w:b/>
                <w:bCs/>
                <w:lang w:eastAsia="pl-PL"/>
              </w:rPr>
              <w:t>2021</w:t>
            </w:r>
          </w:p>
        </w:tc>
      </w:tr>
      <w:tr>
        <w:trPr>
          <w:trHeight w:val="186" w:hRule="atLeast"/>
        </w:trPr>
        <w:tc>
          <w:tcPr>
            <w:tcW w:w="39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mieszania indywidualne</w:t>
            </w:r>
          </w:p>
        </w:tc>
        <w:tc>
          <w:tcPr>
            <w:tcW w:w="89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9</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11</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15</w:t>
            </w:r>
          </w:p>
        </w:tc>
      </w:tr>
      <w:tr>
        <w:trPr>
          <w:trHeight w:val="70" w:hRule="atLeast"/>
        </w:trPr>
        <w:tc>
          <w:tcPr>
            <w:tcW w:w="396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 xml:space="preserve">izby </w:t>
            </w:r>
            <w:r>
              <w:rPr>
                <w:rFonts w:eastAsia="Times New Roman" w:cs="Calibri" w:cstheme="minorHAnsi"/>
              </w:rPr>
              <w:t>(pokoje)</w:t>
            </w:r>
          </w:p>
        </w:tc>
        <w:tc>
          <w:tcPr>
            <w:tcW w:w="89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45</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50</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22</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63</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86</w:t>
            </w:r>
          </w:p>
        </w:tc>
      </w:tr>
      <w:tr>
        <w:trPr>
          <w:trHeight w:val="194" w:hRule="atLeast"/>
        </w:trPr>
        <w:tc>
          <w:tcPr>
            <w:tcW w:w="39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rPr>
              <w:t xml:space="preserve">łączna </w:t>
            </w:r>
            <w:r>
              <w:rPr>
                <w:rFonts w:eastAsia="Times New Roman" w:cs="Calibri" w:cstheme="minorHAnsi"/>
                <w:lang w:eastAsia="pl-PL"/>
              </w:rPr>
              <w:t>powierzchnia użytkowa mieszkań</w:t>
            </w:r>
          </w:p>
        </w:tc>
        <w:tc>
          <w:tcPr>
            <w:tcW w:w="89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1,042</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1,184</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1,291</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345</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1,318</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2,295</w:t>
            </w:r>
          </w:p>
        </w:tc>
      </w:tr>
      <w:tr>
        <w:trPr>
          <w:trHeight w:val="197" w:hRule="atLeast"/>
        </w:trPr>
        <w:tc>
          <w:tcPr>
            <w:tcW w:w="396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średnia powierzchnia mieszania</w:t>
            </w:r>
          </w:p>
        </w:tc>
        <w:tc>
          <w:tcPr>
            <w:tcW w:w="89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115.78</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118.40</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143.44</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86.25</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119.82</w:t>
            </w:r>
          </w:p>
        </w:tc>
        <w:tc>
          <w:tcPr>
            <w:tcW w:w="89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153.00</w:t>
            </w:r>
          </w:p>
        </w:tc>
      </w:tr>
      <w:tr>
        <w:trPr>
          <w:trHeight w:val="73" w:hRule="atLeast"/>
        </w:trPr>
        <w:tc>
          <w:tcPr>
            <w:tcW w:w="39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średnia liczba izb</w:t>
            </w:r>
          </w:p>
        </w:tc>
        <w:tc>
          <w:tcPr>
            <w:tcW w:w="89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5.00</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5.50</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5.56</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5.50</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5.73</w:t>
            </w:r>
          </w:p>
        </w:tc>
        <w:tc>
          <w:tcPr>
            <w:tcW w:w="89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5.73</w:t>
            </w:r>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rmal"/>
        <w:shd w:val="clear" w:color="auto" w:fill="FFFFFF"/>
        <w:spacing w:lineRule="auto" w:line="240" w:before="0" w:after="0"/>
        <w:jc w:val="both"/>
        <w:rPr>
          <w:rFonts w:eastAsia="Times New Roman" w:cs="Calibri" w:cstheme="minorHAnsi"/>
          <w:i/>
          <w:i/>
          <w:iCs/>
          <w:lang w:eastAsia="pl-PL"/>
        </w:rPr>
      </w:pPr>
      <w:r>
        <w:rPr>
          <w:rFonts w:eastAsia="Times New Roman" w:cs="Calibri" w:cstheme="minorHAnsi"/>
          <w:i/>
          <w:iCs/>
          <w:lang w:eastAsia="pl-PL"/>
        </w:rPr>
      </w:r>
    </w:p>
    <w:p>
      <w:pPr>
        <w:pStyle w:val="NoSpacing"/>
        <w:rPr>
          <w:lang w:eastAsia="pl-PL"/>
        </w:rPr>
      </w:pPr>
      <w:r>
        <w:rPr>
          <w:lang w:eastAsia="pl-PL"/>
        </w:rPr>
        <w:t>Biorąc pod uwagę instalacje techniczno-sanitarne:</w:t>
      </w:r>
    </w:p>
    <w:p>
      <w:pPr>
        <w:pStyle w:val="NoSpacing"/>
        <w:numPr>
          <w:ilvl w:val="0"/>
          <w:numId w:val="46"/>
        </w:numPr>
        <w:rPr>
          <w:rFonts w:ascii="Calibri" w:hAnsi="Calibri" w:cs="Calibri" w:asciiTheme="minorHAnsi" w:cstheme="minorHAnsi" w:hAnsiTheme="minorHAnsi"/>
          <w:color w:val="FF0000"/>
          <w:lang w:eastAsia="pl-PL"/>
        </w:rPr>
      </w:pPr>
      <w:r>
        <w:rPr>
          <w:lang w:eastAsia="pl-PL"/>
        </w:rPr>
        <w:t xml:space="preserve">88,95% mieszkań przyłączonych jest do wodociągu, </w:t>
      </w:r>
    </w:p>
    <w:p>
      <w:pPr>
        <w:pStyle w:val="NoSpacing"/>
        <w:numPr>
          <w:ilvl w:val="0"/>
          <w:numId w:val="46"/>
        </w:numPr>
        <w:rPr>
          <w:rFonts w:ascii="Calibri" w:hAnsi="Calibri" w:cs="Calibri" w:asciiTheme="minorHAnsi" w:cstheme="minorHAnsi" w:hAnsiTheme="minorHAnsi"/>
          <w:color w:val="FF0000"/>
          <w:lang w:eastAsia="pl-PL"/>
        </w:rPr>
      </w:pPr>
      <w:r>
        <w:rPr>
          <w:lang w:eastAsia="pl-PL"/>
        </w:rPr>
        <w:t xml:space="preserve">80,63% nieruchomości wyposażonych jest w ustęp spłukiwany, </w:t>
      </w:r>
    </w:p>
    <w:p>
      <w:pPr>
        <w:pStyle w:val="NoSpacing"/>
        <w:numPr>
          <w:ilvl w:val="0"/>
          <w:numId w:val="46"/>
        </w:numPr>
        <w:rPr>
          <w:rFonts w:ascii="Calibri" w:hAnsi="Calibri" w:cs="Calibri" w:asciiTheme="minorHAnsi" w:cstheme="minorHAnsi" w:hAnsiTheme="minorHAnsi"/>
          <w:color w:val="FF0000"/>
          <w:lang w:eastAsia="pl-PL"/>
        </w:rPr>
      </w:pPr>
      <w:r>
        <w:rPr>
          <w:lang w:eastAsia="pl-PL"/>
        </w:rPr>
        <w:t xml:space="preserve">78,07% mieszkań posiada łazienkę, </w:t>
      </w:r>
    </w:p>
    <w:p>
      <w:pPr>
        <w:pStyle w:val="NoSpacing"/>
        <w:numPr>
          <w:ilvl w:val="0"/>
          <w:numId w:val="46"/>
        </w:numPr>
        <w:rPr>
          <w:rFonts w:ascii="Calibri" w:hAnsi="Calibri" w:cs="Calibri" w:asciiTheme="minorHAnsi" w:cstheme="minorHAnsi" w:hAnsiTheme="minorHAnsi"/>
          <w:color w:val="FF0000"/>
          <w:lang w:eastAsia="pl-PL"/>
        </w:rPr>
      </w:pPr>
      <w:r>
        <w:rPr>
          <w:lang w:eastAsia="pl-PL"/>
        </w:rPr>
        <w:t xml:space="preserve">73,96% korzysta z centralnego ogrzewania, a </w:t>
      </w:r>
    </w:p>
    <w:p>
      <w:pPr>
        <w:pStyle w:val="NoSpacing"/>
        <w:numPr>
          <w:ilvl w:val="0"/>
          <w:numId w:val="46"/>
        </w:numPr>
        <w:rPr>
          <w:rFonts w:ascii="Calibri" w:hAnsi="Calibri" w:cs="Calibri" w:asciiTheme="minorHAnsi" w:cstheme="minorHAnsi" w:hAnsiTheme="minorHAnsi"/>
          <w:color w:val="FF0000"/>
          <w:lang w:eastAsia="pl-PL"/>
        </w:rPr>
      </w:pPr>
      <w:r>
        <w:rPr>
          <w:lang w:eastAsia="pl-PL"/>
        </w:rPr>
        <w:t>47,03% z gazu sieciowego.</w:t>
        <w:br/>
      </w:r>
    </w:p>
    <w:p>
      <w:pPr>
        <w:pStyle w:val="Nagwek2"/>
        <w:numPr>
          <w:ilvl w:val="1"/>
          <w:numId w:val="11"/>
        </w:numPr>
        <w:spacing w:lineRule="auto" w:line="240" w:before="0" w:after="120"/>
        <w:ind w:left="432" w:hanging="432"/>
        <w:rPr>
          <w:rFonts w:ascii="Calibri" w:hAnsi="Calibri" w:cs="Calibri" w:asciiTheme="minorHAnsi" w:cstheme="minorHAnsi" w:hAnsiTheme="minorHAnsi"/>
          <w:i w:val="false"/>
          <w:i w:val="false"/>
          <w:iCs w:val="false"/>
        </w:rPr>
      </w:pPr>
      <w:r>
        <w:rPr>
          <w:rFonts w:cs="Calibri" w:ascii="Calibri" w:hAnsi="Calibri" w:asciiTheme="minorHAnsi" w:cstheme="minorHAnsi" w:hAnsiTheme="minorHAnsi"/>
          <w:i w:val="false"/>
          <w:iCs w:val="false"/>
        </w:rPr>
        <w:t xml:space="preserve"> </w:t>
      </w:r>
      <w:bookmarkStart w:id="273" w:name="_Toc118887474"/>
      <w:r>
        <w:rPr>
          <w:rFonts w:cs="Calibri" w:ascii="Calibri" w:hAnsi="Calibri" w:asciiTheme="minorHAnsi" w:cstheme="minorHAnsi" w:hAnsiTheme="minorHAnsi"/>
          <w:i w:val="false"/>
          <w:iCs w:val="false"/>
        </w:rPr>
        <w:t>Rynek pracy</w:t>
      </w:r>
      <w:bookmarkEnd w:id="273"/>
      <w:r>
        <w:rPr>
          <w:rFonts w:cs="Calibri" w:ascii="Calibri" w:hAnsi="Calibri" w:asciiTheme="minorHAnsi" w:cstheme="minorHAnsi" w:hAnsiTheme="minorHAnsi"/>
          <w:i w:val="false"/>
          <w:iCs w:val="false"/>
        </w:rPr>
        <w:t xml:space="preserve"> </w:t>
      </w:r>
    </w:p>
    <w:p>
      <w:pPr>
        <w:pStyle w:val="NoSpacing"/>
        <w:ind w:firstLine="426"/>
        <w:jc w:val="both"/>
        <w:rPr>
          <w:rFonts w:ascii="Calibri" w:hAnsi="Calibri" w:cs="Calibri" w:asciiTheme="minorHAnsi" w:cstheme="minorHAnsi" w:hAnsiTheme="minorHAnsi"/>
        </w:rPr>
      </w:pPr>
      <w:r>
        <w:rPr>
          <w:rFonts w:cs="Calibri" w:cstheme="minorHAnsi"/>
        </w:rPr>
        <w:t xml:space="preserve">Bezrobocie interpretowane jako zjawisko towarzyszące gospodarce rynkowej oznacza brak pracy zarobkowej dla osób zdolnych do jej wykonywania i deklarujących chęć jej podjęcia. Bezrobocie (mimo znaczącego spadku w ostatnich latach) nadal jest istotnym problemem społeczno-gospodarczym występującym na terenie województwa świętokrzyskiego i Gminy Dwikozy. Należy pokreślić, iż jest to zjawisko trudne do zmierzenia, gdyż statystyki najczęściej odnoszą się do skali bezrobocia rejestrowanego, przez co część osób pozostająca bez pracy nie jest w nich ujęta. </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rPr>
      </w:pPr>
      <w:bookmarkStart w:id="274" w:name="_Hlk118700035"/>
      <w:bookmarkEnd w:id="274"/>
      <w:r>
        <w:rPr>
          <w:rFonts w:cs="Calibri" w:cstheme="minorHAnsi"/>
        </w:rPr>
        <w:t xml:space="preserve">Gmina Dwikozy leży na terenie powiatu sandomierskiego, gdzie stopa bezrobocia pod koniec 2021r. wynosiła 6,6 % i była niższa niż średnia dla województwa (7,3 %) i wyższa niż w kraju (5,4 %).  </w:t>
      </w:r>
    </w:p>
    <w:p>
      <w:pPr>
        <w:pStyle w:val="Caption"/>
        <w:spacing w:lineRule="auto" w:line="240" w:before="0" w:after="0"/>
        <w:rPr>
          <w:rFonts w:ascii="Calibri" w:hAnsi="Calibri" w:cs="Calibri" w:asciiTheme="minorHAnsi" w:cstheme="minorHAnsi" w:hAnsiTheme="minorHAnsi"/>
          <w:b w:val="false"/>
          <w:b w:val="false"/>
          <w:bCs w:val="false"/>
        </w:rPr>
      </w:pPr>
      <w:r>
        <w:rPr>
          <w:rFonts w:cs="Calibri" w:cstheme="minorHAnsi"/>
          <w:b w:val="false"/>
          <w:bCs w:val="false"/>
        </w:rPr>
      </w:r>
      <w:bookmarkStart w:id="275" w:name="_Hlk118700035"/>
      <w:bookmarkStart w:id="276" w:name="_Toc100774727"/>
      <w:bookmarkStart w:id="277" w:name="_Hlk118700035"/>
      <w:bookmarkStart w:id="278" w:name="_Toc100774727"/>
      <w:bookmarkEnd w:id="277"/>
    </w:p>
    <w:p>
      <w:pPr>
        <w:pStyle w:val="Caption"/>
        <w:spacing w:lineRule="auto" w:line="240" w:before="0" w:after="0"/>
        <w:jc w:val="center"/>
        <w:rPr>
          <w:rFonts w:ascii="Calibri" w:hAnsi="Calibri" w:cs="Calibri" w:asciiTheme="minorHAnsi" w:cstheme="minorHAnsi" w:hAnsiTheme="minorHAnsi"/>
          <w:b w:val="false"/>
          <w:b w:val="false"/>
          <w:bCs w:val="false"/>
          <w:i/>
          <w:i/>
          <w:iCs/>
          <w:sz w:val="22"/>
          <w:szCs w:val="22"/>
        </w:rPr>
      </w:pPr>
      <w:bookmarkStart w:id="279" w:name="_Toc118887798"/>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49</w:t>
      </w:r>
      <w:r>
        <w:rPr>
          <w:b w:val="false"/>
          <w:bCs w:val="false"/>
          <w:rFonts w:cs="Calibri"/>
        </w:rPr>
        <w:fldChar w:fldCharType="end"/>
      </w:r>
      <w:r>
        <w:rPr>
          <w:rFonts w:cs="Calibri" w:cstheme="minorHAnsi"/>
          <w:b w:val="false"/>
          <w:bCs w:val="false"/>
        </w:rPr>
        <w:t xml:space="preserve"> Stopa bezrobocia w latach 2017-2021 na terenie powiatu sandomierskiego</w:t>
      </w:r>
      <w:bookmarkEnd w:id="278"/>
      <w:r>
        <w:rPr>
          <w:rFonts w:cs="Calibri" w:cstheme="minorHAnsi"/>
          <w:b w:val="false"/>
          <w:bCs w:val="false"/>
        </w:rPr>
        <w:t>, województwa świętokrzyskiego i całego kraju</w:t>
      </w:r>
      <w:bookmarkEnd w:id="279"/>
    </w:p>
    <w:tbl>
      <w:tblPr>
        <w:tblW w:w="87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124"/>
        <w:gridCol w:w="1141"/>
        <w:gridCol w:w="1040"/>
        <w:gridCol w:w="1239"/>
        <w:gridCol w:w="1001"/>
        <w:gridCol w:w="1239"/>
      </w:tblGrid>
      <w:tr>
        <w:trPr>
          <w:trHeight w:val="276" w:hRule="atLeast"/>
        </w:trPr>
        <w:tc>
          <w:tcPr>
            <w:tcW w:w="3124"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Wyszczególnienie</w:t>
            </w:r>
          </w:p>
        </w:tc>
        <w:tc>
          <w:tcPr>
            <w:tcW w:w="114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2017</w:t>
            </w:r>
          </w:p>
        </w:tc>
        <w:tc>
          <w:tcPr>
            <w:tcW w:w="10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2018</w:t>
            </w:r>
          </w:p>
        </w:tc>
        <w:tc>
          <w:tcPr>
            <w:tcW w:w="12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2019</w:t>
            </w:r>
          </w:p>
        </w:tc>
        <w:tc>
          <w:tcPr>
            <w:tcW w:w="100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2020</w:t>
            </w:r>
          </w:p>
        </w:tc>
        <w:tc>
          <w:tcPr>
            <w:tcW w:w="12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2021</w:t>
            </w:r>
          </w:p>
        </w:tc>
      </w:tr>
      <w:tr>
        <w:trPr>
          <w:trHeight w:val="276" w:hRule="atLeast"/>
        </w:trPr>
        <w:tc>
          <w:tcPr>
            <w:tcW w:w="312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Polska</w:t>
            </w:r>
          </w:p>
        </w:tc>
        <w:tc>
          <w:tcPr>
            <w:tcW w:w="11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6.6</w:t>
            </w:r>
          </w:p>
        </w:tc>
        <w:tc>
          <w:tcPr>
            <w:tcW w:w="10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5.8</w:t>
            </w:r>
          </w:p>
        </w:tc>
        <w:tc>
          <w:tcPr>
            <w:tcW w:w="12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5.2</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6.2</w:t>
            </w:r>
          </w:p>
        </w:tc>
        <w:tc>
          <w:tcPr>
            <w:tcW w:w="12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5.4</w:t>
            </w:r>
          </w:p>
        </w:tc>
      </w:tr>
      <w:tr>
        <w:trPr>
          <w:trHeight w:val="276" w:hRule="atLeast"/>
        </w:trPr>
        <w:tc>
          <w:tcPr>
            <w:tcW w:w="3124"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województwo świętokrzyskie</w:t>
            </w:r>
          </w:p>
        </w:tc>
        <w:tc>
          <w:tcPr>
            <w:tcW w:w="1141" w:type="dxa"/>
            <w:tcBorders>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8.8</w:t>
            </w:r>
          </w:p>
        </w:tc>
        <w:tc>
          <w:tcPr>
            <w:tcW w:w="10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8.3</w:t>
            </w:r>
          </w:p>
        </w:tc>
        <w:tc>
          <w:tcPr>
            <w:tcW w:w="12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7.9</w:t>
            </w:r>
          </w:p>
        </w:tc>
        <w:tc>
          <w:tcPr>
            <w:tcW w:w="100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8.5</w:t>
            </w:r>
          </w:p>
        </w:tc>
        <w:tc>
          <w:tcPr>
            <w:tcW w:w="12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7.3</w:t>
            </w:r>
          </w:p>
        </w:tc>
      </w:tr>
      <w:tr>
        <w:trPr>
          <w:trHeight w:val="276" w:hRule="atLeast"/>
        </w:trPr>
        <w:tc>
          <w:tcPr>
            <w:tcW w:w="312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powiat sandomierski</w:t>
            </w:r>
          </w:p>
        </w:tc>
        <w:tc>
          <w:tcPr>
            <w:tcW w:w="11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7.4</w:t>
            </w:r>
          </w:p>
        </w:tc>
        <w:tc>
          <w:tcPr>
            <w:tcW w:w="10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6.8</w:t>
            </w:r>
          </w:p>
        </w:tc>
        <w:tc>
          <w:tcPr>
            <w:tcW w:w="12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6.9</w:t>
            </w:r>
          </w:p>
        </w:tc>
        <w:tc>
          <w:tcPr>
            <w:tcW w:w="10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7.3</w:t>
            </w:r>
          </w:p>
        </w:tc>
        <w:tc>
          <w:tcPr>
            <w:tcW w:w="12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6.6</w:t>
            </w:r>
          </w:p>
        </w:tc>
      </w:tr>
    </w:tbl>
    <w:p>
      <w:pPr>
        <w:pStyle w:val="Normal"/>
        <w:shd w:val="clear" w:color="auto" w:fill="FFFFFF"/>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Spacing"/>
        <w:jc w:val="both"/>
        <w:rPr>
          <w:rFonts w:ascii="Calibri" w:hAnsi="Calibri" w:eastAsia="Times New Roman" w:cs="Calibri" w:asciiTheme="minorHAnsi" w:cstheme="minorHAnsi" w:hAnsiTheme="minorHAnsi"/>
          <w:color w:val="FF0000"/>
          <w:highlight w:val="yellow"/>
          <w:lang w:eastAsia="pl-PL"/>
        </w:rPr>
      </w:pPr>
      <w:r>
        <w:rPr>
          <w:rFonts w:eastAsia="Times New Roman" w:cs="Calibri" w:cstheme="minorHAnsi"/>
          <w:color w:val="FF0000"/>
          <w:highlight w:val="yellow"/>
          <w:lang w:eastAsia="pl-PL"/>
        </w:rPr>
      </w:r>
      <w:bookmarkStart w:id="280" w:name="_Hlk118700021"/>
      <w:bookmarkStart w:id="281" w:name="_Hlk118700021"/>
      <w:bookmarkEnd w:id="281"/>
    </w:p>
    <w:p>
      <w:pPr>
        <w:pStyle w:val="NoSpacing"/>
        <w:jc w:val="both"/>
        <w:rPr>
          <w:rFonts w:ascii="Calibri" w:hAnsi="Calibri" w:cs="Calibri" w:asciiTheme="minorHAnsi" w:cstheme="minorHAnsi" w:hAnsiTheme="minorHAnsi"/>
        </w:rPr>
      </w:pPr>
      <w:r>
        <w:rPr>
          <w:rFonts w:cs="Calibri" w:cstheme="minorHAnsi"/>
        </w:rPr>
        <w:t xml:space="preserve">W latach 2016-2021 można zaobserwować tendencję spadkową bezrobocia w Gminie Dwikozy, gdzie w 2021 roku liczba bezrobotnych (w porównaniu do roku 2016) spadła o 90 osób. Wśród bezrobotnych nieznacznie przeważają mężczyźni (51% do 49%). </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oSpacing"/>
        <w:jc w:val="center"/>
        <w:rPr>
          <w:rFonts w:ascii="Calibri" w:hAnsi="Calibri" w:eastAsia="SimSun" w:cs="Calibri" w:asciiTheme="minorHAnsi" w:cstheme="minorHAnsi" w:hAnsiTheme="minorHAnsi"/>
          <w:sz w:val="20"/>
          <w:szCs w:val="20"/>
          <w:lang w:eastAsia="zh-CN"/>
        </w:rPr>
      </w:pPr>
      <w:bookmarkStart w:id="282" w:name="_Toc118887799"/>
      <w:bookmarkStart w:id="283" w:name="_Toc64359953"/>
      <w:r>
        <w:rPr>
          <w:rFonts w:eastAsia="SimSun" w:cs="Calibri" w:cstheme="minorHAnsi"/>
          <w:sz w:val="20"/>
          <w:szCs w:val="20"/>
          <w:lang w:eastAsia="zh-CN"/>
        </w:rPr>
        <w:t xml:space="preserve">Tabela </w:t>
      </w:r>
      <w:r>
        <w:rPr>
          <w:rFonts w:eastAsia="SimSun" w:cs="Calibri" w:cstheme="minorHAnsi"/>
          <w:sz w:val="20"/>
          <w:szCs w:val="20"/>
          <w:lang w:eastAsia="zh-CN"/>
        </w:rPr>
        <w:fldChar w:fldCharType="begin"/>
      </w:r>
      <w:r>
        <w:rPr>
          <w:sz w:val="20"/>
          <w:szCs w:val="20"/>
          <w:rFonts w:eastAsia="SimSun" w:cs="Calibri"/>
          <w:lang w:eastAsia="zh-CN"/>
        </w:rPr>
        <w:instrText xml:space="preserve"> SEQ Tabela \* ARABIC </w:instrText>
      </w:r>
      <w:r>
        <w:rPr>
          <w:sz w:val="20"/>
          <w:szCs w:val="20"/>
          <w:rFonts w:eastAsia="SimSun" w:cs="Calibri"/>
          <w:lang w:eastAsia="zh-CN"/>
        </w:rPr>
        <w:fldChar w:fldCharType="separate"/>
      </w:r>
      <w:r>
        <w:rPr>
          <w:sz w:val="20"/>
          <w:szCs w:val="20"/>
          <w:rFonts w:eastAsia="SimSun" w:cs="Calibri"/>
          <w:lang w:eastAsia="zh-CN"/>
        </w:rPr>
        <w:t>50</w:t>
      </w:r>
      <w:r>
        <w:rPr>
          <w:sz w:val="20"/>
          <w:szCs w:val="20"/>
          <w:rFonts w:eastAsia="SimSun" w:cs="Calibri"/>
          <w:lang w:eastAsia="zh-CN"/>
        </w:rPr>
        <w:fldChar w:fldCharType="end"/>
      </w:r>
      <w:r>
        <w:rPr>
          <w:rFonts w:eastAsia="SimSun" w:cs="Calibri" w:cstheme="minorHAnsi"/>
          <w:sz w:val="20"/>
          <w:szCs w:val="20"/>
          <w:lang w:eastAsia="zh-CN"/>
        </w:rPr>
        <w:t xml:space="preserve"> Bezrobocie na terenie gminy Dwikozy w latach 2016-2021</w:t>
      </w:r>
      <w:bookmarkEnd w:id="282"/>
      <w:bookmarkEnd w:id="283"/>
    </w:p>
    <w:tbl>
      <w:tblPr>
        <w:tblW w:w="908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319"/>
        <w:gridCol w:w="961"/>
        <w:gridCol w:w="960"/>
        <w:gridCol w:w="959"/>
        <w:gridCol w:w="960"/>
        <w:gridCol w:w="961"/>
        <w:gridCol w:w="959"/>
      </w:tblGrid>
      <w:tr>
        <w:trPr>
          <w:trHeight w:val="288" w:hRule="atLeast"/>
        </w:trPr>
        <w:tc>
          <w:tcPr>
            <w:tcW w:w="3319"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Kategoria</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2016</w:t>
            </w:r>
          </w:p>
        </w:tc>
        <w:tc>
          <w:tcPr>
            <w:tcW w:w="96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2017</w:t>
            </w:r>
          </w:p>
        </w:tc>
        <w:tc>
          <w:tcPr>
            <w:tcW w:w="95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2018</w:t>
            </w:r>
          </w:p>
        </w:tc>
        <w:tc>
          <w:tcPr>
            <w:tcW w:w="96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2019</w:t>
            </w:r>
          </w:p>
        </w:tc>
        <w:tc>
          <w:tcPr>
            <w:tcW w:w="96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2020</w:t>
            </w:r>
          </w:p>
        </w:tc>
        <w:tc>
          <w:tcPr>
            <w:tcW w:w="959" w:type="dxa"/>
            <w:tcBorders>
              <w:top w:val="single" w:sz="4" w:space="0" w:color="000000"/>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jc w:val="center"/>
              <w:rPr>
                <w:rFonts w:eastAsia="Times New Roman" w:cs="Calibri" w:cstheme="minorHAnsi"/>
                <w:b/>
                <w:b/>
                <w:bCs/>
              </w:rPr>
            </w:pPr>
            <w:r>
              <w:rPr>
                <w:rFonts w:eastAsia="Times New Roman" w:cs="Calibri" w:cstheme="minorHAnsi"/>
                <w:b/>
                <w:bCs/>
              </w:rPr>
              <w:t>2021</w:t>
            </w:r>
          </w:p>
        </w:tc>
      </w:tr>
      <w:tr>
        <w:trPr>
          <w:trHeight w:val="288" w:hRule="atLeast"/>
        </w:trPr>
        <w:tc>
          <w:tcPr>
            <w:tcW w:w="33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ogółem</w:t>
            </w:r>
          </w:p>
        </w:tc>
        <w:tc>
          <w:tcPr>
            <w:tcW w:w="961"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381</w:t>
            </w:r>
          </w:p>
        </w:tc>
        <w:tc>
          <w:tcPr>
            <w:tcW w:w="96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315</w:t>
            </w:r>
          </w:p>
        </w:tc>
        <w:tc>
          <w:tcPr>
            <w:tcW w:w="959"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309</w:t>
            </w:r>
          </w:p>
        </w:tc>
        <w:tc>
          <w:tcPr>
            <w:tcW w:w="96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304</w:t>
            </w:r>
          </w:p>
        </w:tc>
        <w:tc>
          <w:tcPr>
            <w:tcW w:w="961"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320</w:t>
            </w:r>
          </w:p>
        </w:tc>
        <w:tc>
          <w:tcPr>
            <w:tcW w:w="959"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291</w:t>
            </w:r>
          </w:p>
        </w:tc>
      </w:tr>
      <w:tr>
        <w:trPr>
          <w:trHeight w:val="288" w:hRule="atLeast"/>
        </w:trPr>
        <w:tc>
          <w:tcPr>
            <w:tcW w:w="3319"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kobiety</w:t>
            </w:r>
          </w:p>
        </w:tc>
        <w:tc>
          <w:tcPr>
            <w:tcW w:w="961" w:type="dxa"/>
            <w:tcBorders>
              <w:top w:val="outset" w:sz="6" w:space="0" w:color="000000"/>
              <w:left w:val="outset" w:sz="6" w:space="0" w:color="000000"/>
              <w:bottom w:val="outset" w:sz="6" w:space="0" w:color="000000"/>
              <w:right w:val="outset" w:sz="6"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rPr>
            </w:pPr>
            <w:r>
              <w:rPr>
                <w:rFonts w:cs="Calibri" w:cstheme="minorHAnsi"/>
              </w:rPr>
              <w:t>193</w:t>
            </w:r>
          </w:p>
        </w:tc>
        <w:tc>
          <w:tcPr>
            <w:tcW w:w="960" w:type="dxa"/>
            <w:tcBorders>
              <w:top w:val="outset" w:sz="6" w:space="0" w:color="000000"/>
              <w:left w:val="outset" w:sz="6" w:space="0" w:color="000000"/>
              <w:bottom w:val="outset" w:sz="6" w:space="0" w:color="000000"/>
              <w:right w:val="outset" w:sz="6"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rPr>
            </w:pPr>
            <w:r>
              <w:rPr>
                <w:rFonts w:cs="Calibri" w:cstheme="minorHAnsi"/>
              </w:rPr>
              <w:t>164</w:t>
            </w:r>
          </w:p>
        </w:tc>
        <w:tc>
          <w:tcPr>
            <w:tcW w:w="959" w:type="dxa"/>
            <w:tcBorders>
              <w:top w:val="outset" w:sz="6" w:space="0" w:color="000000"/>
              <w:left w:val="outset" w:sz="6" w:space="0" w:color="000000"/>
              <w:bottom w:val="outset" w:sz="6" w:space="0" w:color="000000"/>
              <w:right w:val="outset" w:sz="6"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rPr>
            </w:pPr>
            <w:r>
              <w:rPr>
                <w:rFonts w:cs="Calibri" w:cstheme="minorHAnsi"/>
              </w:rPr>
              <w:t>169</w:t>
            </w:r>
          </w:p>
        </w:tc>
        <w:tc>
          <w:tcPr>
            <w:tcW w:w="960" w:type="dxa"/>
            <w:tcBorders>
              <w:top w:val="outset" w:sz="6" w:space="0" w:color="000000"/>
              <w:left w:val="outset" w:sz="6" w:space="0" w:color="000000"/>
              <w:bottom w:val="outset" w:sz="6" w:space="0" w:color="000000"/>
              <w:right w:val="outset" w:sz="6"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rPr>
            </w:pPr>
            <w:r>
              <w:rPr>
                <w:rFonts w:cs="Calibri" w:cstheme="minorHAnsi"/>
              </w:rPr>
              <w:t>171</w:t>
            </w:r>
          </w:p>
        </w:tc>
        <w:tc>
          <w:tcPr>
            <w:tcW w:w="961" w:type="dxa"/>
            <w:tcBorders>
              <w:top w:val="outset" w:sz="6" w:space="0" w:color="000000"/>
              <w:left w:val="outset" w:sz="6" w:space="0" w:color="000000"/>
              <w:bottom w:val="outset" w:sz="6" w:space="0" w:color="000000"/>
              <w:right w:val="outset" w:sz="6"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rPr>
            </w:pPr>
            <w:r>
              <w:rPr>
                <w:rFonts w:cs="Calibri" w:cstheme="minorHAnsi"/>
              </w:rPr>
              <w:t>178</w:t>
            </w:r>
          </w:p>
        </w:tc>
        <w:tc>
          <w:tcPr>
            <w:tcW w:w="959" w:type="dxa"/>
            <w:tcBorders>
              <w:top w:val="outset" w:sz="6" w:space="0" w:color="000000"/>
              <w:left w:val="outset" w:sz="6" w:space="0" w:color="000000"/>
              <w:bottom w:val="outset" w:sz="6" w:space="0" w:color="000000"/>
              <w:right w:val="outset" w:sz="6" w:space="0" w:color="000000"/>
            </w:tcBorders>
            <w:shd w:color="auto" w:fill="E2EFD9" w:themeFill="accent6" w:themeFillTint="33" w:val="clear"/>
            <w:vAlign w:val="center"/>
          </w:tcPr>
          <w:p>
            <w:pPr>
              <w:pStyle w:val="Normal"/>
              <w:widowControl w:val="false"/>
              <w:spacing w:lineRule="auto" w:line="240" w:before="0" w:after="0"/>
              <w:jc w:val="center"/>
              <w:rPr>
                <w:rFonts w:cs="Calibri" w:cstheme="minorHAnsi"/>
              </w:rPr>
            </w:pPr>
            <w:r>
              <w:rPr>
                <w:rFonts w:cs="Calibri" w:cstheme="minorHAnsi"/>
              </w:rPr>
              <w:t>143</w:t>
            </w:r>
          </w:p>
        </w:tc>
      </w:tr>
      <w:tr>
        <w:trPr>
          <w:trHeight w:val="288" w:hRule="atLeast"/>
        </w:trPr>
        <w:tc>
          <w:tcPr>
            <w:tcW w:w="331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mężczyźni</w:t>
            </w:r>
          </w:p>
        </w:tc>
        <w:tc>
          <w:tcPr>
            <w:tcW w:w="961"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188</w:t>
            </w:r>
          </w:p>
        </w:tc>
        <w:tc>
          <w:tcPr>
            <w:tcW w:w="96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151</w:t>
            </w:r>
          </w:p>
        </w:tc>
        <w:tc>
          <w:tcPr>
            <w:tcW w:w="959"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140</w:t>
            </w:r>
          </w:p>
        </w:tc>
        <w:tc>
          <w:tcPr>
            <w:tcW w:w="96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133</w:t>
            </w:r>
          </w:p>
        </w:tc>
        <w:tc>
          <w:tcPr>
            <w:tcW w:w="961"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142</w:t>
            </w:r>
          </w:p>
        </w:tc>
        <w:tc>
          <w:tcPr>
            <w:tcW w:w="959"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lineRule="auto" w:line="240" w:before="0" w:after="0"/>
              <w:jc w:val="center"/>
              <w:rPr>
                <w:rFonts w:cs="Calibri" w:cstheme="minorHAnsi"/>
              </w:rPr>
            </w:pPr>
            <w:r>
              <w:rPr>
                <w:rFonts w:cs="Calibri" w:cstheme="minorHAnsi"/>
              </w:rPr>
              <w:t>148</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opracowanie własne na podstawie danych GUS</w:t>
      </w:r>
    </w:p>
    <w:p>
      <w:pPr>
        <w:pStyle w:val="NoSpacing"/>
        <w:jc w:val="both"/>
        <w:rPr>
          <w:rFonts w:ascii="Calibri" w:hAnsi="Calibri" w:cs="Calibri" w:asciiTheme="minorHAnsi" w:cstheme="minorHAnsi" w:hAnsiTheme="minorHAnsi"/>
          <w:b/>
          <w:b/>
          <w:bCs/>
          <w:highlight w:val="yellow"/>
        </w:rPr>
      </w:pPr>
      <w:r>
        <w:rPr>
          <w:rFonts w:cs="Calibri" w:cstheme="minorHAnsi"/>
          <w:b/>
          <w:bCs/>
          <w:highlight w:val="yellow"/>
        </w:rPr>
      </w:r>
      <w:bookmarkStart w:id="284" w:name="_Hlk118700021"/>
      <w:bookmarkStart w:id="285" w:name="_Hlk118700021"/>
      <w:bookmarkEnd w:id="285"/>
    </w:p>
    <w:p>
      <w:pPr>
        <w:pStyle w:val="Normal"/>
        <w:spacing w:lineRule="auto" w:line="240" w:before="0" w:after="0"/>
        <w:jc w:val="both"/>
        <w:rPr>
          <w:rFonts w:eastAsia="Times New Roman" w:cs="Calibri" w:cstheme="minorHAnsi"/>
          <w:lang w:eastAsia="pl-PL"/>
        </w:rPr>
      </w:pPr>
      <w:r>
        <w:rPr>
          <w:rFonts w:eastAsia="Times New Roman" w:cs="Calibri" w:cstheme="minorHAnsi"/>
          <w:lang w:eastAsia="pl-PL"/>
        </w:rPr>
        <w:t xml:space="preserve">Według danych GUS w 2021 r. w gminie Dwikozy  zarejestrowanych było </w:t>
      </w:r>
      <w:r>
        <w:rPr>
          <w:rFonts w:eastAsia="Times New Roman" w:cs="Calibri" w:cstheme="minorHAnsi"/>
          <w:b/>
          <w:lang w:eastAsia="pl-PL"/>
        </w:rPr>
        <w:t xml:space="preserve">291 osób. </w:t>
      </w:r>
    </w:p>
    <w:p>
      <w:pPr>
        <w:pStyle w:val="Normal"/>
        <w:rPr>
          <w:rFonts w:eastAsia="Times New Roman" w:cs="Calibri" w:cstheme="minorHAnsi"/>
          <w:lang w:eastAsia="pl-PL"/>
        </w:rPr>
      </w:pPr>
      <w:r>
        <w:rPr>
          <w:rFonts w:eastAsia="Times New Roman" w:cs="Calibri" w:cstheme="minorHAnsi"/>
          <w:lang w:eastAsia="pl-PL"/>
        </w:rPr>
      </w:r>
      <w:r>
        <w:br w:type="page"/>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sz w:val="22"/>
          <w:szCs w:val="22"/>
          <w:lang w:eastAsia="pl-PL"/>
        </w:rPr>
      </w:pPr>
      <w:bookmarkStart w:id="286" w:name="_Hlk118700128"/>
      <w:bookmarkStart w:id="287" w:name="_Toc118887800"/>
      <w:r>
        <w:rPr>
          <w:rFonts w:cs="Calibri" w:cstheme="minorHAnsi"/>
          <w:b w:val="false"/>
          <w:bCs w:val="false"/>
          <w:sz w:val="22"/>
          <w:szCs w:val="22"/>
        </w:rPr>
        <w:t xml:space="preserve">Tabela </w:t>
      </w:r>
      <w:r>
        <w:rPr>
          <w:rFonts w:cs="Calibri" w:cstheme="minorHAnsi"/>
          <w:b w:val="false"/>
          <w:bCs w:val="false"/>
          <w:sz w:val="22"/>
          <w:szCs w:val="22"/>
        </w:rPr>
        <w:fldChar w:fldCharType="begin"/>
      </w:r>
      <w:r>
        <w:rPr>
          <w:sz w:val="22"/>
          <w:b w:val="false"/>
          <w:szCs w:val="22"/>
          <w:bCs w:val="false"/>
          <w:rFonts w:cs="Calibri"/>
        </w:rPr>
        <w:instrText xml:space="preserve"> SEQ Tabela \* ARABIC </w:instrText>
      </w:r>
      <w:r>
        <w:rPr>
          <w:sz w:val="22"/>
          <w:b w:val="false"/>
          <w:szCs w:val="22"/>
          <w:bCs w:val="false"/>
          <w:rFonts w:cs="Calibri"/>
        </w:rPr>
        <w:fldChar w:fldCharType="separate"/>
      </w:r>
      <w:r>
        <w:rPr>
          <w:sz w:val="22"/>
          <w:b w:val="false"/>
          <w:szCs w:val="22"/>
          <w:bCs w:val="false"/>
          <w:rFonts w:cs="Calibri"/>
        </w:rPr>
        <w:t>51</w:t>
      </w:r>
      <w:r>
        <w:rPr>
          <w:sz w:val="22"/>
          <w:b w:val="false"/>
          <w:szCs w:val="22"/>
          <w:bCs w:val="false"/>
          <w:rFonts w:cs="Calibri"/>
        </w:rPr>
        <w:fldChar w:fldCharType="end"/>
      </w:r>
      <w:r>
        <w:rPr>
          <w:rFonts w:cs="Calibri" w:cstheme="minorHAnsi"/>
          <w:b w:val="false"/>
          <w:bCs w:val="false"/>
          <w:sz w:val="22"/>
          <w:szCs w:val="22"/>
        </w:rPr>
        <w:t xml:space="preserve"> </w:t>
      </w:r>
      <w:r>
        <w:rPr>
          <w:rFonts w:eastAsia="Times New Roman" w:cs="Calibri" w:cstheme="minorHAnsi"/>
          <w:b w:val="false"/>
          <w:bCs w:val="false"/>
          <w:sz w:val="22"/>
          <w:szCs w:val="22"/>
          <w:lang w:eastAsia="pl-PL"/>
        </w:rPr>
        <w:t>Liczba osób bezrobotnych w Gminie Dwikozy według staniu na dzień 31.12</w:t>
      </w:r>
      <w:bookmarkEnd w:id="287"/>
    </w:p>
    <w:tbl>
      <w:tblPr>
        <w:tblW w:w="912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24"/>
        <w:gridCol w:w="1141"/>
        <w:gridCol w:w="1039"/>
        <w:gridCol w:w="1240"/>
        <w:gridCol w:w="1000"/>
        <w:gridCol w:w="1240"/>
        <w:gridCol w:w="1240"/>
      </w:tblGrid>
      <w:tr>
        <w:trPr>
          <w:trHeight w:val="288" w:hRule="atLeast"/>
        </w:trPr>
        <w:tc>
          <w:tcPr>
            <w:tcW w:w="2224"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lang w:val="en-US"/>
              </w:rPr>
            </w:pPr>
            <w:r>
              <w:rPr>
                <w:rFonts w:eastAsia="Times New Roman" w:cs="Calibri" w:cstheme="minorHAnsi"/>
                <w:b/>
                <w:bCs/>
                <w:lang w:val="en-US"/>
              </w:rPr>
              <w:t>kategoria</w:t>
            </w:r>
          </w:p>
        </w:tc>
        <w:tc>
          <w:tcPr>
            <w:tcW w:w="114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2016</w:t>
            </w:r>
          </w:p>
        </w:tc>
        <w:tc>
          <w:tcPr>
            <w:tcW w:w="10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2017</w:t>
            </w:r>
          </w:p>
        </w:tc>
        <w:tc>
          <w:tcPr>
            <w:tcW w:w="12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2018</w:t>
            </w:r>
          </w:p>
        </w:tc>
        <w:tc>
          <w:tcPr>
            <w:tcW w:w="100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2019</w:t>
            </w:r>
          </w:p>
        </w:tc>
        <w:tc>
          <w:tcPr>
            <w:tcW w:w="12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2020</w:t>
            </w:r>
          </w:p>
        </w:tc>
        <w:tc>
          <w:tcPr>
            <w:tcW w:w="12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color w:val="000000"/>
                <w:lang w:val="en-US"/>
              </w:rPr>
            </w:pPr>
            <w:r>
              <w:rPr>
                <w:rFonts w:eastAsia="Times New Roman" w:cs="Calibri" w:cstheme="minorHAnsi"/>
                <w:b/>
                <w:bCs/>
                <w:color w:val="000000"/>
                <w:lang w:val="en-US"/>
              </w:rPr>
              <w:t>2021</w:t>
            </w:r>
          </w:p>
        </w:tc>
      </w:tr>
      <w:tr>
        <w:trPr>
          <w:trHeight w:val="288" w:hRule="atLeast"/>
        </w:trPr>
        <w:tc>
          <w:tcPr>
            <w:tcW w:w="2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ogółem</w:t>
            </w:r>
          </w:p>
        </w:tc>
        <w:tc>
          <w:tcPr>
            <w:tcW w:w="114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381</w:t>
            </w:r>
          </w:p>
        </w:tc>
        <w:tc>
          <w:tcPr>
            <w:tcW w:w="10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315</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309</w:t>
            </w:r>
          </w:p>
        </w:tc>
        <w:tc>
          <w:tcPr>
            <w:tcW w:w="10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304</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320</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291</w:t>
            </w:r>
          </w:p>
        </w:tc>
      </w:tr>
      <w:tr>
        <w:trPr>
          <w:trHeight w:val="345" w:hRule="atLeast"/>
        </w:trPr>
        <w:tc>
          <w:tcPr>
            <w:tcW w:w="2224"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do 25 roku życia</w:t>
            </w:r>
          </w:p>
        </w:tc>
        <w:tc>
          <w:tcPr>
            <w:tcW w:w="114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67</w:t>
            </w:r>
          </w:p>
        </w:tc>
        <w:tc>
          <w:tcPr>
            <w:tcW w:w="10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41</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36</w:t>
            </w:r>
          </w:p>
        </w:tc>
        <w:tc>
          <w:tcPr>
            <w:tcW w:w="100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55</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57</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42</w:t>
            </w:r>
          </w:p>
        </w:tc>
      </w:tr>
      <w:tr>
        <w:trPr>
          <w:trHeight w:val="288" w:hRule="atLeast"/>
        </w:trPr>
        <w:tc>
          <w:tcPr>
            <w:tcW w:w="2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do 30 roku życia</w:t>
            </w:r>
          </w:p>
        </w:tc>
        <w:tc>
          <w:tcPr>
            <w:tcW w:w="114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146</w:t>
            </w:r>
          </w:p>
        </w:tc>
        <w:tc>
          <w:tcPr>
            <w:tcW w:w="10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103</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94</w:t>
            </w:r>
          </w:p>
        </w:tc>
        <w:tc>
          <w:tcPr>
            <w:tcW w:w="10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110</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110</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75</w:t>
            </w:r>
          </w:p>
        </w:tc>
      </w:tr>
      <w:tr>
        <w:trPr>
          <w:trHeight w:val="288" w:hRule="atLeast"/>
        </w:trPr>
        <w:tc>
          <w:tcPr>
            <w:tcW w:w="2224"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powyżej 50 roku życia</w:t>
            </w:r>
          </w:p>
        </w:tc>
        <w:tc>
          <w:tcPr>
            <w:tcW w:w="114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88</w:t>
            </w:r>
          </w:p>
        </w:tc>
        <w:tc>
          <w:tcPr>
            <w:tcW w:w="10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83</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82</w:t>
            </w:r>
          </w:p>
        </w:tc>
        <w:tc>
          <w:tcPr>
            <w:tcW w:w="100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65</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72</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70</w:t>
            </w:r>
          </w:p>
        </w:tc>
      </w:tr>
      <w:tr>
        <w:trPr>
          <w:trHeight w:val="288" w:hRule="atLeast"/>
        </w:trPr>
        <w:tc>
          <w:tcPr>
            <w:tcW w:w="2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długotrwale bezrobotni</w:t>
            </w:r>
          </w:p>
        </w:tc>
        <w:tc>
          <w:tcPr>
            <w:tcW w:w="114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190</w:t>
            </w:r>
          </w:p>
        </w:tc>
        <w:tc>
          <w:tcPr>
            <w:tcW w:w="10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186</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160</w:t>
            </w:r>
          </w:p>
        </w:tc>
        <w:tc>
          <w:tcPr>
            <w:tcW w:w="10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161</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185</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183</w:t>
            </w:r>
          </w:p>
        </w:tc>
      </w:tr>
    </w:tbl>
    <w:p>
      <w:pPr>
        <w:pStyle w:val="Normal"/>
        <w:tabs>
          <w:tab w:val="clear" w:pos="720"/>
          <w:tab w:val="left" w:pos="6462" w:leader="none"/>
        </w:tabs>
        <w:spacing w:lineRule="auto" w:line="240" w:before="0" w:after="0"/>
        <w:jc w:val="center"/>
        <w:rPr>
          <w:rFonts w:eastAsia="Times New Roman" w:cs="Calibri" w:cstheme="minorHAnsi"/>
          <w:sz w:val="20"/>
          <w:szCs w:val="20"/>
          <w:lang w:eastAsia="pl-PL"/>
        </w:rPr>
      </w:pPr>
      <w:r>
        <w:rPr>
          <w:rFonts w:eastAsia="Times New Roman" w:cs="Calibri" w:cstheme="minorHAnsi"/>
          <w:sz w:val="20"/>
          <w:szCs w:val="20"/>
          <w:lang w:eastAsia="pl-PL"/>
        </w:rPr>
        <w:t>Źródło: opracowanie własne na podstawie danych GUS</w:t>
      </w:r>
    </w:p>
    <w:p>
      <w:pPr>
        <w:pStyle w:val="Normal"/>
        <w:tabs>
          <w:tab w:val="clear" w:pos="720"/>
          <w:tab w:val="left" w:pos="6462" w:leader="none"/>
        </w:tabs>
        <w:spacing w:lineRule="auto" w:line="240" w:before="0" w:after="0"/>
        <w:jc w:val="center"/>
        <w:rPr>
          <w:rFonts w:eastAsia="Times New Roman" w:cs="Calibri" w:cstheme="minorHAnsi"/>
          <w:i/>
          <w:i/>
          <w:iCs/>
          <w:highlight w:val="yellow"/>
          <w:lang w:eastAsia="pl-PL"/>
        </w:rPr>
      </w:pPr>
      <w:r>
        <w:rPr>
          <w:rFonts w:eastAsia="Times New Roman" w:cs="Calibri" w:cstheme="minorHAnsi"/>
          <w:i/>
          <w:iCs/>
          <w:highlight w:val="yellow"/>
          <w:lang w:eastAsia="pl-PL"/>
        </w:rPr>
      </w:r>
    </w:p>
    <w:p>
      <w:pPr>
        <w:pStyle w:val="Normal"/>
        <w:tabs>
          <w:tab w:val="clear" w:pos="720"/>
          <w:tab w:val="left" w:pos="6462" w:leader="none"/>
        </w:tabs>
        <w:spacing w:lineRule="auto" w:line="240" w:before="0" w:after="0"/>
        <w:jc w:val="both"/>
        <w:rPr>
          <w:rFonts w:eastAsia="Times New Roman" w:cs="Calibri" w:cstheme="minorHAnsi"/>
          <w:lang w:eastAsia="pl-PL"/>
        </w:rPr>
      </w:pPr>
      <w:bookmarkStart w:id="288" w:name="_Hlk118700128"/>
      <w:r>
        <w:rPr>
          <w:rFonts w:eastAsia="Times New Roman" w:cs="Calibri" w:cstheme="minorHAnsi"/>
          <w:lang w:eastAsia="pl-PL"/>
        </w:rPr>
        <w:t xml:space="preserve">Największą grupę bezrobotnych stanowią osoby długotrwale bezrobotne 63%. </w:t>
      </w:r>
      <w:bookmarkEnd w:id="288"/>
      <w:r>
        <w:rPr>
          <w:rFonts w:eastAsia="Times New Roman" w:cs="Calibri" w:cstheme="minorHAnsi"/>
          <w:lang w:eastAsia="pl-PL"/>
        </w:rPr>
        <w:t>Osoby do 25 r.ż. stanowią 14% ogółu bezrobotnych.</w:t>
      </w:r>
    </w:p>
    <w:p>
      <w:pPr>
        <w:pStyle w:val="Normal"/>
        <w:tabs>
          <w:tab w:val="clear" w:pos="720"/>
          <w:tab w:val="left" w:pos="6462" w:leader="none"/>
        </w:tabs>
        <w:spacing w:lineRule="auto" w:line="240" w:before="0" w:after="0"/>
        <w:jc w:val="both"/>
        <w:rPr>
          <w:rFonts w:eastAsia="Times New Roman" w:cs="Calibri" w:cstheme="minorHAnsi"/>
          <w:lang w:eastAsia="pl-PL"/>
        </w:rPr>
      </w:pPr>
      <w:r>
        <w:rPr>
          <w:rFonts w:eastAsia="Times New Roman" w:cs="Calibri" w:cstheme="minorHAnsi"/>
          <w:lang w:eastAsia="pl-PL"/>
        </w:rPr>
      </w:r>
    </w:p>
    <w:p>
      <w:pPr>
        <w:pStyle w:val="Normal"/>
        <w:tabs>
          <w:tab w:val="clear" w:pos="720"/>
          <w:tab w:val="left" w:pos="6462" w:leader="none"/>
        </w:tabs>
        <w:spacing w:lineRule="auto" w:line="240" w:before="0" w:after="0"/>
        <w:jc w:val="both"/>
        <w:rPr>
          <w:rFonts w:eastAsia="Times New Roman" w:cs="Calibri" w:cstheme="minorHAnsi"/>
          <w:lang w:eastAsia="pl-PL"/>
        </w:rPr>
      </w:pPr>
      <w:r>
        <w:rPr>
          <w:rFonts w:eastAsia="Times New Roman" w:cs="Calibri" w:cstheme="minorHAnsi"/>
          <w:lang w:eastAsia="pl-PL"/>
        </w:rPr>
        <w:t>W 2021 r. bezrobotni z Gminy Dwikozy stanowili 12,38 % ogółu bezrobotnych w Powiecie Sandomierskiem i ok. 0,76 % ogółu bezrobotnych w województwie świętokrzyskim.</w:t>
      </w:r>
    </w:p>
    <w:p>
      <w:pPr>
        <w:pStyle w:val="Normal"/>
        <w:spacing w:lineRule="auto" w:line="240" w:before="0" w:after="0"/>
        <w:jc w:val="both"/>
        <w:rPr>
          <w:rFonts w:eastAsia="Times New Roman" w:cs="Calibri" w:cstheme="minorHAnsi"/>
          <w:lang w:eastAsia="pl-PL"/>
        </w:rPr>
      </w:pPr>
      <w:r>
        <w:rPr>
          <w:rFonts w:eastAsia="Times New Roman" w:cs="Calibri" w:cstheme="minorHAnsi"/>
          <w:lang w:eastAsia="pl-PL"/>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lang w:eastAsia="pl-PL"/>
        </w:rPr>
      </w:pPr>
      <w:bookmarkStart w:id="289" w:name="_Toc118887801"/>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52</w:t>
      </w:r>
      <w:r>
        <w:rPr>
          <w:b w:val="false"/>
          <w:bCs w:val="false"/>
          <w:rFonts w:cs="Calibri"/>
        </w:rPr>
        <w:fldChar w:fldCharType="end"/>
      </w:r>
      <w:r>
        <w:rPr>
          <w:rFonts w:cs="Calibri" w:cstheme="minorHAnsi"/>
          <w:b w:val="false"/>
          <w:bCs w:val="false"/>
        </w:rPr>
        <w:t xml:space="preserve"> </w:t>
      </w:r>
      <w:r>
        <w:rPr>
          <w:rFonts w:eastAsia="Times New Roman" w:cs="Calibri" w:cstheme="minorHAnsi"/>
          <w:b w:val="false"/>
          <w:bCs w:val="false"/>
          <w:lang w:eastAsia="pl-PL"/>
        </w:rPr>
        <w:t>Struktura bezrobotnych w Gminie Dwikozy na tle powiatu i województwa (stan na 31.12.2021)</w:t>
      </w:r>
      <w:bookmarkEnd w:id="289"/>
    </w:p>
    <w:tbl>
      <w:tblPr>
        <w:tblW w:w="91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84"/>
        <w:gridCol w:w="2127"/>
        <w:gridCol w:w="2478"/>
        <w:gridCol w:w="2544"/>
      </w:tblGrid>
      <w:tr>
        <w:trPr>
          <w:trHeight w:val="201" w:hRule="atLeast"/>
        </w:trPr>
        <w:tc>
          <w:tcPr>
            <w:tcW w:w="1984" w:type="dxa"/>
            <w:vMerge w:val="restart"/>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Status</w:t>
            </w:r>
          </w:p>
        </w:tc>
        <w:tc>
          <w:tcPr>
            <w:tcW w:w="7149" w:type="dxa"/>
            <w:gridSpan w:val="3"/>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Liczba zarejestrowanych bezrobotnych</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r>
      <w:tr>
        <w:trPr>
          <w:trHeight w:val="70" w:hRule="atLeast"/>
        </w:trPr>
        <w:tc>
          <w:tcPr>
            <w:tcW w:w="1984" w:type="dxa"/>
            <w:vMerge w:val="continue"/>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r>
          </w:p>
        </w:tc>
        <w:tc>
          <w:tcPr>
            <w:tcW w:w="212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Gmina Dwikozy</w:t>
            </w:r>
          </w:p>
        </w:tc>
        <w:tc>
          <w:tcPr>
            <w:tcW w:w="2478"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Powiat Sandomierski</w:t>
            </w:r>
          </w:p>
        </w:tc>
        <w:tc>
          <w:tcPr>
            <w:tcW w:w="2544"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Województwo Świętokrzyskie</w:t>
            </w:r>
          </w:p>
        </w:tc>
      </w:tr>
      <w:tr>
        <w:trPr/>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Osoby bezrobotne ogółem, w tym:</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291</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143 kobiet)</w:t>
            </w:r>
          </w:p>
        </w:tc>
        <w:tc>
          <w:tcPr>
            <w:tcW w:w="2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2350</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1229 kobiet)</w:t>
            </w:r>
          </w:p>
        </w:tc>
        <w:tc>
          <w:tcPr>
            <w:tcW w:w="2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38 035</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19 665 kobiet)</w:t>
            </w:r>
          </w:p>
        </w:tc>
      </w:tr>
      <w:tr>
        <w:trPr/>
        <w:tc>
          <w:tcPr>
            <w:tcW w:w="198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Osoby bezrobotne  z prawem do zasiłku</w:t>
            </w:r>
          </w:p>
        </w:tc>
        <w:tc>
          <w:tcPr>
            <w:tcW w:w="212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23</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14 kobiet)</w:t>
            </w:r>
          </w:p>
        </w:tc>
        <w:tc>
          <w:tcPr>
            <w:tcW w:w="247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180</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91 kobiet)</w:t>
            </w:r>
          </w:p>
        </w:tc>
        <w:tc>
          <w:tcPr>
            <w:tcW w:w="254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5 621</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3 103 kobiet)</w:t>
            </w:r>
          </w:p>
        </w:tc>
      </w:tr>
      <w:tr>
        <w:trPr/>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Osoby długotrwale bezrobotni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183</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113 kobiet)</w:t>
            </w:r>
          </w:p>
        </w:tc>
        <w:tc>
          <w:tcPr>
            <w:tcW w:w="2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1 471</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826 kobiet)</w:t>
            </w:r>
          </w:p>
        </w:tc>
        <w:tc>
          <w:tcPr>
            <w:tcW w:w="2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21 829</w:t>
            </w:r>
          </w:p>
          <w:p>
            <w:pPr>
              <w:pStyle w:val="Normal"/>
              <w:widowControl w:val="false"/>
              <w:spacing w:lineRule="auto" w:line="240" w:before="0" w:after="0"/>
              <w:jc w:val="center"/>
              <w:rPr>
                <w:rFonts w:eastAsia="Times New Roman" w:cs="Calibri" w:cstheme="minorHAnsi"/>
                <w:lang w:eastAsia="pl-PL"/>
              </w:rPr>
            </w:pPr>
            <w:r>
              <w:rPr>
                <w:rFonts w:eastAsia="Times New Roman" w:cs="Calibri" w:cstheme="minorHAnsi"/>
                <w:lang w:eastAsia="pl-PL"/>
              </w:rPr>
              <w:t>(w tym 11 915 kobiet)</w:t>
            </w:r>
          </w:p>
        </w:tc>
      </w:tr>
    </w:tbl>
    <w:p>
      <w:pPr>
        <w:pStyle w:val="Normal"/>
        <w:spacing w:lineRule="auto" w:line="240" w:before="0" w:after="0"/>
        <w:jc w:val="center"/>
        <w:rPr>
          <w:rFonts w:cs="Calibri" w:cstheme="minorHAnsi"/>
          <w:sz w:val="20"/>
          <w:szCs w:val="20"/>
        </w:rPr>
      </w:pPr>
      <w:r>
        <w:rPr>
          <w:rFonts w:cs="Calibri" w:cstheme="minorHAnsi"/>
          <w:sz w:val="20"/>
          <w:szCs w:val="20"/>
        </w:rPr>
        <w:t>Źródło: opracowanie własne na podstawie danych GUS</w:t>
      </w:r>
    </w:p>
    <w:p>
      <w:pPr>
        <w:pStyle w:val="Normal"/>
        <w:spacing w:lineRule="auto" w:line="240" w:before="0" w:after="0"/>
        <w:rPr>
          <w:rFonts w:cs="Calibri" w:cstheme="minorHAnsi"/>
        </w:rPr>
      </w:pPr>
      <w:r>
        <w:rPr>
          <w:rFonts w:cs="Calibri" w:cstheme="minorHAnsi"/>
        </w:rPr>
      </w:r>
    </w:p>
    <w:p>
      <w:pPr>
        <w:pStyle w:val="NoSpacing"/>
        <w:rPr>
          <w:rFonts w:cs="Calibri" w:cstheme="minorHAnsi"/>
        </w:rPr>
      </w:pPr>
      <w:r>
        <w:rPr>
          <w:lang w:eastAsia="pl-PL"/>
        </w:rPr>
        <w:t>W 2021 roku przeciętne miesięczne wynagrodzenie brutto w gminie Dwikozy wynosiło 5 414,24 PLN, co odpowiada 90.20% przeciętnego miesięcznego wynagrodzenia brutto w Polsce.</w:t>
        <w:br/>
      </w:r>
    </w:p>
    <w:p>
      <w:pPr>
        <w:pStyle w:val="Normal"/>
        <w:spacing w:lineRule="auto" w:line="240" w:before="0" w:after="240"/>
        <w:rPr>
          <w:rFonts w:cs="Calibri" w:cstheme="minorHAnsi"/>
        </w:rPr>
      </w:pPr>
      <w:r>
        <w:rPr>
          <w:rFonts w:cs="Calibri" w:cstheme="minorHAnsi"/>
        </w:rPr>
        <w:t>53,9% aktywnych zawodowo mieszkańców gminy Dwikozy pracuje w sektorze rolniczym (rolnictwo, leśnictwo, łowiectwo i rybactwo), 14,1% w przemyśle i budownictwie, a 10,5% w sektorze usługowym (handel, naprawa pojazdów, transport, zakwaterowanie i gastronomia, informacja i komunikacja) oraz 1,2% pracuje w sektorze finansowym (działalność finansowa i ubezpieczeniowa, obsługa rynku nieruchomości).</w:t>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90" w:name="_Toc118887802"/>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53</w:t>
      </w:r>
      <w:r>
        <w:rPr>
          <w:b w:val="false"/>
          <w:bCs w:val="false"/>
          <w:rFonts w:cs="Calibri"/>
        </w:rPr>
        <w:fldChar w:fldCharType="end"/>
      </w:r>
      <w:r>
        <w:rPr>
          <w:rFonts w:cs="Calibri" w:cstheme="minorHAnsi"/>
          <w:b w:val="false"/>
          <w:bCs w:val="false"/>
        </w:rPr>
        <w:t xml:space="preserve"> Liczba osób pracujących na 1000 mieszkańców w Gminie Dwikozy w latach 2016-2021</w:t>
      </w:r>
      <w:bookmarkEnd w:id="290"/>
    </w:p>
    <w:tbl>
      <w:tblPr>
        <w:tblW w:w="867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74"/>
        <w:gridCol w:w="1140"/>
        <w:gridCol w:w="1040"/>
        <w:gridCol w:w="1240"/>
        <w:gridCol w:w="1000"/>
        <w:gridCol w:w="1241"/>
        <w:gridCol w:w="1239"/>
      </w:tblGrid>
      <w:tr>
        <w:trPr>
          <w:trHeight w:val="288" w:hRule="atLeast"/>
        </w:trPr>
        <w:tc>
          <w:tcPr>
            <w:tcW w:w="1774"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Kategoria</w:t>
            </w:r>
          </w:p>
        </w:tc>
        <w:tc>
          <w:tcPr>
            <w:tcW w:w="11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2016</w:t>
            </w:r>
          </w:p>
        </w:tc>
        <w:tc>
          <w:tcPr>
            <w:tcW w:w="10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2017</w:t>
            </w:r>
          </w:p>
        </w:tc>
        <w:tc>
          <w:tcPr>
            <w:tcW w:w="124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2018</w:t>
            </w:r>
          </w:p>
        </w:tc>
        <w:tc>
          <w:tcPr>
            <w:tcW w:w="1000"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2019</w:t>
            </w:r>
          </w:p>
        </w:tc>
        <w:tc>
          <w:tcPr>
            <w:tcW w:w="1241"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2020</w:t>
            </w:r>
          </w:p>
        </w:tc>
        <w:tc>
          <w:tcPr>
            <w:tcW w:w="1239"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2021</w:t>
            </w:r>
          </w:p>
        </w:tc>
      </w:tr>
      <w:tr>
        <w:trPr>
          <w:trHeight w:val="288" w:hRule="atLeast"/>
        </w:trPr>
        <w:tc>
          <w:tcPr>
            <w:tcW w:w="1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ogółem</w:t>
            </w:r>
          </w:p>
        </w:tc>
        <w:tc>
          <w:tcPr>
            <w:tcW w:w="11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890</w:t>
            </w:r>
          </w:p>
        </w:tc>
        <w:tc>
          <w:tcPr>
            <w:tcW w:w="10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838</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889</w:t>
            </w:r>
          </w:p>
        </w:tc>
        <w:tc>
          <w:tcPr>
            <w:tcW w:w="10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791</w:t>
            </w:r>
          </w:p>
        </w:tc>
        <w:tc>
          <w:tcPr>
            <w:tcW w:w="124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802</w:t>
            </w:r>
          </w:p>
        </w:tc>
        <w:tc>
          <w:tcPr>
            <w:tcW w:w="12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663</w:t>
            </w:r>
          </w:p>
        </w:tc>
      </w:tr>
      <w:tr>
        <w:trPr>
          <w:trHeight w:val="288" w:hRule="atLeast"/>
        </w:trPr>
        <w:tc>
          <w:tcPr>
            <w:tcW w:w="1774" w:type="dxa"/>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mężczyźni</w:t>
            </w:r>
          </w:p>
        </w:tc>
        <w:tc>
          <w:tcPr>
            <w:tcW w:w="11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398</w:t>
            </w:r>
          </w:p>
        </w:tc>
        <w:tc>
          <w:tcPr>
            <w:tcW w:w="10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335</w:t>
            </w:r>
          </w:p>
        </w:tc>
        <w:tc>
          <w:tcPr>
            <w:tcW w:w="124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395</w:t>
            </w:r>
          </w:p>
        </w:tc>
        <w:tc>
          <w:tcPr>
            <w:tcW w:w="1000"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333</w:t>
            </w:r>
          </w:p>
        </w:tc>
        <w:tc>
          <w:tcPr>
            <w:tcW w:w="1241"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301</w:t>
            </w:r>
          </w:p>
        </w:tc>
        <w:tc>
          <w:tcPr>
            <w:tcW w:w="1239"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236</w:t>
            </w:r>
          </w:p>
        </w:tc>
      </w:tr>
      <w:tr>
        <w:trPr>
          <w:trHeight w:val="288" w:hRule="atLeast"/>
        </w:trPr>
        <w:tc>
          <w:tcPr>
            <w:tcW w:w="1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kobiety</w:t>
            </w:r>
          </w:p>
        </w:tc>
        <w:tc>
          <w:tcPr>
            <w:tcW w:w="11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492</w:t>
            </w:r>
          </w:p>
        </w:tc>
        <w:tc>
          <w:tcPr>
            <w:tcW w:w="10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503</w:t>
            </w:r>
          </w:p>
        </w:tc>
        <w:tc>
          <w:tcPr>
            <w:tcW w:w="124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494</w:t>
            </w:r>
          </w:p>
        </w:tc>
        <w:tc>
          <w:tcPr>
            <w:tcW w:w="10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458</w:t>
            </w:r>
          </w:p>
        </w:tc>
        <w:tc>
          <w:tcPr>
            <w:tcW w:w="124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501</w:t>
            </w:r>
          </w:p>
        </w:tc>
        <w:tc>
          <w:tcPr>
            <w:tcW w:w="12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color w:val="000000"/>
                <w:lang w:val="en-US"/>
              </w:rPr>
            </w:pPr>
            <w:r>
              <w:rPr>
                <w:rFonts w:eastAsia="Times New Roman" w:cs="Calibri" w:cstheme="minorHAnsi"/>
                <w:color w:val="000000"/>
                <w:lang w:val="en-US"/>
              </w:rPr>
              <w:t>427</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opracowanie własne na podstawie danych GUS</w:t>
      </w:r>
    </w:p>
    <w:p>
      <w:pPr>
        <w:pStyle w:val="NoSpacing"/>
        <w:jc w:val="center"/>
        <w:rPr>
          <w:rFonts w:ascii="Calibri" w:hAnsi="Calibri" w:cs="Calibri" w:asciiTheme="minorHAnsi" w:cstheme="minorHAnsi" w:hAnsiTheme="minorHAnsi"/>
          <w:color w:val="FF0000"/>
        </w:rPr>
      </w:pPr>
      <w:r>
        <w:rPr>
          <w:rFonts w:cs="Calibri" w:cstheme="minorHAnsi"/>
          <w:color w:val="FF0000"/>
        </w:rPr>
      </w:r>
    </w:p>
    <w:p>
      <w:pPr>
        <w:pStyle w:val="Normal"/>
        <w:spacing w:lineRule="auto" w:line="240" w:before="0" w:after="0"/>
        <w:jc w:val="both"/>
        <w:rPr>
          <w:rFonts w:cs="Calibri" w:cstheme="minorHAnsi"/>
        </w:rPr>
      </w:pPr>
      <w:r>
        <w:rPr>
          <w:rFonts w:cs="Calibri" w:cstheme="minorHAnsi"/>
        </w:rPr>
        <w:t>Czynnikami wspływajacymi na rynek pracy są;</w:t>
      </w:r>
    </w:p>
    <w:p>
      <w:pPr>
        <w:pStyle w:val="ListParagraph"/>
        <w:numPr>
          <w:ilvl w:val="0"/>
          <w:numId w:val="40"/>
        </w:numPr>
        <w:spacing w:lineRule="auto" w:line="240" w:before="0" w:after="0"/>
        <w:jc w:val="both"/>
        <w:rPr>
          <w:rFonts w:ascii="Calibri" w:hAnsi="Calibri" w:cs="Calibri" w:asciiTheme="minorHAnsi" w:cstheme="minorHAnsi" w:hAnsiTheme="minorHAnsi"/>
        </w:rPr>
      </w:pPr>
      <w:r>
        <w:rPr>
          <w:rFonts w:cs="Calibri" w:cstheme="minorHAnsi"/>
        </w:rPr>
        <w:t>Zmiany demograficzne</w:t>
      </w:r>
    </w:p>
    <w:p>
      <w:pPr>
        <w:pStyle w:val="ListParagraph"/>
        <w:numPr>
          <w:ilvl w:val="0"/>
          <w:numId w:val="39"/>
        </w:numPr>
        <w:spacing w:lineRule="auto" w:line="240" w:before="0" w:after="0"/>
        <w:jc w:val="both"/>
        <w:rPr>
          <w:rFonts w:ascii="Calibri" w:hAnsi="Calibri" w:cs="Calibri" w:asciiTheme="minorHAnsi" w:cstheme="minorHAnsi" w:hAnsiTheme="minorHAnsi"/>
        </w:rPr>
      </w:pPr>
      <w:r>
        <w:rPr>
          <w:rFonts w:cs="Calibri" w:cstheme="minorHAnsi"/>
        </w:rPr>
        <w:t xml:space="preserve">procesy ubytku naturalnego ludnosci- głównym czynnikiem jest pogłebiajaca się depresja urodzeniowa spowodowana niskim współczynnikiem dzietności kobiet. </w:t>
      </w:r>
    </w:p>
    <w:p>
      <w:pPr>
        <w:pStyle w:val="ListParagraph"/>
        <w:numPr>
          <w:ilvl w:val="0"/>
          <w:numId w:val="39"/>
        </w:numPr>
        <w:spacing w:lineRule="auto" w:line="240" w:before="0" w:after="0"/>
        <w:jc w:val="both"/>
        <w:rPr>
          <w:rFonts w:ascii="Calibri" w:hAnsi="Calibri" w:cs="Calibri" w:asciiTheme="minorHAnsi" w:cstheme="minorHAnsi" w:hAnsiTheme="minorHAnsi"/>
        </w:rPr>
      </w:pPr>
      <w:r>
        <w:rPr>
          <w:rFonts w:cs="Calibri" w:cstheme="minorHAnsi"/>
        </w:rPr>
        <w:t xml:space="preserve">wzrost umieralności zwłaszcza w ostatnich 2 latach (spowodowanych pandemia covid) </w:t>
      </w:r>
    </w:p>
    <w:p>
      <w:pPr>
        <w:pStyle w:val="ListParagraph"/>
        <w:numPr>
          <w:ilvl w:val="0"/>
          <w:numId w:val="39"/>
        </w:numPr>
        <w:spacing w:lineRule="auto" w:line="240" w:before="0" w:after="0"/>
        <w:jc w:val="both"/>
        <w:rPr>
          <w:rFonts w:ascii="Calibri" w:hAnsi="Calibri" w:cs="Calibri" w:asciiTheme="minorHAnsi" w:cstheme="minorHAnsi" w:hAnsiTheme="minorHAnsi"/>
        </w:rPr>
      </w:pPr>
      <w:r>
        <w:rPr>
          <w:rFonts w:cs="Calibri" w:cstheme="minorHAnsi"/>
        </w:rPr>
        <w:t>wykształcenie mieszkańcow</w:t>
      </w:r>
    </w:p>
    <w:p>
      <w:pPr>
        <w:pStyle w:val="ListParagraph"/>
        <w:numPr>
          <w:ilvl w:val="0"/>
          <w:numId w:val="39"/>
        </w:numPr>
        <w:spacing w:lineRule="auto" w:line="240" w:before="0" w:after="0"/>
        <w:jc w:val="both"/>
        <w:rPr>
          <w:rFonts w:ascii="Calibri" w:hAnsi="Calibri" w:cs="Calibri" w:asciiTheme="minorHAnsi" w:cstheme="minorHAnsi" w:hAnsiTheme="minorHAnsi"/>
        </w:rPr>
      </w:pPr>
      <w:r>
        <w:rPr>
          <w:rFonts w:cs="Calibri" w:cstheme="minorHAnsi"/>
        </w:rPr>
        <w:t>zmiany w ekonomicznych grupach wieku ludności. Sukcesywnie zmniejsza się liczba dzieci i młodzieży oraz ich udziasłu w struktórze mieszkańców powoduje uszczuplenie aktualnych i przyszłych zasobów pracy.</w:t>
      </w:r>
    </w:p>
    <w:p>
      <w:pPr>
        <w:pStyle w:val="Normal"/>
        <w:spacing w:lineRule="auto" w:line="240" w:before="0" w:after="0"/>
        <w:jc w:val="both"/>
        <w:rPr>
          <w:rFonts w:cs="Calibri" w:cstheme="minorHAnsi"/>
        </w:rPr>
      </w:pPr>
      <w:r>
        <w:rPr>
          <w:rFonts w:cs="Calibri" w:cstheme="minorHAnsi"/>
        </w:rPr>
      </w:r>
    </w:p>
    <w:p>
      <w:pPr>
        <w:pStyle w:val="ListParagraph"/>
        <w:numPr>
          <w:ilvl w:val="0"/>
          <w:numId w:val="40"/>
        </w:numPr>
        <w:spacing w:lineRule="auto" w:line="240" w:before="0" w:after="0"/>
        <w:jc w:val="both"/>
        <w:rPr>
          <w:rFonts w:ascii="Calibri" w:hAnsi="Calibri" w:cs="Calibri" w:asciiTheme="minorHAnsi" w:cstheme="minorHAnsi" w:hAnsiTheme="minorHAnsi"/>
        </w:rPr>
      </w:pPr>
      <w:r>
        <w:rPr>
          <w:rFonts w:cs="Calibri" w:cstheme="minorHAnsi"/>
        </w:rPr>
        <w:t>Migracje ludności wynikające z ruchu przesiedleńczego miedzy gminami, powiatami, województwami od wielu lat powodują straty w liczbie mieszkańców woj. świętokrzyskiego. Zjawisko odpływu ludności do regionów lepiej rozwiniętych gospodarczo najczęściej dotyczy osób młodych, wyjeżdzających na studia do dużych ośrodków i pozostających tam na stałe także osób w wieku najwyższej aktywności zawodowej poszukujących korzystniejszych warunków zatrudnienia.</w:t>
      </w:r>
    </w:p>
    <w:p>
      <w:pPr>
        <w:pStyle w:val="ListParagraph"/>
        <w:spacing w:lineRule="auto" w:line="240" w:before="0" w:after="0"/>
        <w:ind w:left="630" w:hanging="0"/>
        <w:jc w:val="both"/>
        <w:rPr>
          <w:rFonts w:ascii="Calibri" w:hAnsi="Calibri" w:cs="Calibri" w:asciiTheme="minorHAnsi" w:cstheme="minorHAnsi" w:hAnsiTheme="minorHAnsi"/>
        </w:rPr>
      </w:pPr>
      <w:r>
        <w:rPr>
          <w:rFonts w:cs="Calibri" w:cstheme="minorHAnsi"/>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91" w:name="_Toc118887432"/>
      <w:r>
        <w:rPr>
          <w:rFonts w:cs="Calibri" w:cstheme="minorHAnsi"/>
          <w:b w:val="false"/>
          <w:bCs w:val="false"/>
        </w:rPr>
        <w:t xml:space="preserve">Wykres </w:t>
      </w:r>
      <w:r>
        <w:rPr>
          <w:rFonts w:cs="Calibri" w:cstheme="minorHAnsi"/>
          <w:b w:val="false"/>
          <w:bCs w:val="false"/>
        </w:rPr>
        <w:fldChar w:fldCharType="begin"/>
      </w:r>
      <w:r>
        <w:rPr>
          <w:b w:val="false"/>
          <w:bCs w:val="false"/>
          <w:rFonts w:cs="Calibri"/>
        </w:rPr>
        <w:instrText xml:space="preserve"> SEQ Wykres \* ARABIC </w:instrText>
      </w:r>
      <w:r>
        <w:rPr>
          <w:b w:val="false"/>
          <w:bCs w:val="false"/>
          <w:rFonts w:cs="Calibri"/>
        </w:rPr>
        <w:fldChar w:fldCharType="separate"/>
      </w:r>
      <w:r>
        <w:rPr>
          <w:b w:val="false"/>
          <w:bCs w:val="false"/>
          <w:rFonts w:cs="Calibri"/>
        </w:rPr>
        <w:t>5</w:t>
      </w:r>
      <w:r>
        <w:rPr>
          <w:b w:val="false"/>
          <w:bCs w:val="false"/>
          <w:rFonts w:cs="Calibri"/>
        </w:rPr>
        <w:fldChar w:fldCharType="end"/>
      </w:r>
      <w:r>
        <w:rPr>
          <w:rFonts w:cs="Calibri" w:cstheme="minorHAnsi"/>
          <w:b w:val="false"/>
          <w:bCs w:val="false"/>
        </w:rPr>
        <w:t xml:space="preserve"> Udział grup zawodów ze względu na prognozowane zapotrzebowanie w woj. świętokrzyskim </w:t>
        <w:br/>
        <w:t xml:space="preserve"> w latach 2016-2022</w:t>
      </w:r>
      <w:bookmarkEnd w:id="291"/>
    </w:p>
    <w:p>
      <w:pPr>
        <w:pStyle w:val="Normal"/>
        <w:spacing w:lineRule="auto" w:line="240" w:before="0" w:after="0"/>
        <w:jc w:val="center"/>
        <w:rPr>
          <w:rFonts w:cs="Calibri" w:cstheme="minorHAnsi"/>
        </w:rPr>
      </w:pPr>
      <w:r>
        <w:rPr/>
        <w:drawing>
          <wp:inline distT="0" distB="0" distL="0" distR="0">
            <wp:extent cx="5597525" cy="2331720"/>
            <wp:effectExtent l="0" t="0" r="0" b="0"/>
            <wp:docPr id="28"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1" descr=""/>
                    <pic:cNvPicPr>
                      <a:picLocks noChangeAspect="1" noChangeArrowheads="1"/>
                    </pic:cNvPicPr>
                  </pic:nvPicPr>
                  <pic:blipFill>
                    <a:blip r:embed="rId39"/>
                    <a:srcRect l="39126" t="41834" r="21018" b="28640"/>
                    <a:stretch>
                      <a:fillRect/>
                    </a:stretch>
                  </pic:blipFill>
                  <pic:spPr bwMode="auto">
                    <a:xfrm>
                      <a:off x="0" y="0"/>
                      <a:ext cx="5597525" cy="2331720"/>
                    </a:xfrm>
                    <a:prstGeom prst="rect">
                      <a:avLst/>
                    </a:prstGeom>
                  </pic:spPr>
                </pic:pic>
              </a:graphicData>
            </a:graphic>
          </wp:inline>
        </w:drawing>
      </w:r>
    </w:p>
    <w:p>
      <w:pPr>
        <w:pStyle w:val="Normal"/>
        <w:spacing w:lineRule="auto" w:line="240" w:before="0" w:after="0"/>
        <w:jc w:val="center"/>
        <w:rPr>
          <w:rFonts w:cs="Calibri" w:cstheme="minorHAnsi"/>
          <w:sz w:val="20"/>
          <w:szCs w:val="20"/>
        </w:rPr>
      </w:pPr>
      <w:r>
        <w:rPr>
          <w:rFonts w:cs="Calibri" w:cstheme="minorHAnsi"/>
          <w:sz w:val="20"/>
          <w:szCs w:val="20"/>
        </w:rPr>
        <w:t>Źródło: Barometr zawodów 2022</w:t>
      </w:r>
    </w:p>
    <w:p>
      <w:pPr>
        <w:pStyle w:val="Caption"/>
        <w:spacing w:lineRule="auto" w:line="240" w:before="0" w:after="0"/>
        <w:jc w:val="center"/>
        <w:rPr>
          <w:rFonts w:ascii="Calibri" w:hAnsi="Calibri" w:cs="Calibri" w:asciiTheme="minorHAnsi" w:cstheme="minorHAnsi" w:hAnsiTheme="minorHAnsi"/>
          <w:b w:val="false"/>
          <w:b w:val="false"/>
          <w:bCs w:val="false"/>
          <w:sz w:val="22"/>
          <w:szCs w:val="22"/>
        </w:rPr>
      </w:pPr>
      <w:r>
        <w:rPr>
          <w:rFonts w:cs="Calibri" w:cstheme="minorHAnsi"/>
          <w:b w:val="false"/>
          <w:bCs w:val="false"/>
          <w:sz w:val="22"/>
          <w:szCs w:val="22"/>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92" w:name="_Toc118887803"/>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54</w:t>
      </w:r>
      <w:r>
        <w:rPr>
          <w:b w:val="false"/>
          <w:bCs w:val="false"/>
          <w:rFonts w:cs="Calibri"/>
        </w:rPr>
        <w:fldChar w:fldCharType="end"/>
      </w:r>
      <w:r>
        <w:rPr>
          <w:rFonts w:cs="Calibri" w:cstheme="minorHAnsi"/>
          <w:b w:val="false"/>
          <w:bCs w:val="false"/>
        </w:rPr>
        <w:t xml:space="preserve"> Prognoza zawodów deficytowych i nadwyżkowych w roku 2022 w powiecie sandomierskim</w:t>
      </w:r>
      <w:bookmarkEnd w:id="292"/>
    </w:p>
    <w:tbl>
      <w:tblPr>
        <w:tblW w:w="98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259"/>
        <w:gridCol w:w="6621"/>
      </w:tblGrid>
      <w:tr>
        <w:trPr>
          <w:trHeight w:val="312" w:hRule="atLeast"/>
        </w:trPr>
        <w:tc>
          <w:tcPr>
            <w:tcW w:w="3259"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widowControl w:val="false"/>
              <w:spacing w:lineRule="auto" w:line="240" w:before="0" w:after="0"/>
              <w:rPr>
                <w:rFonts w:eastAsia="Times New Roman" w:cs="Calibri" w:cstheme="minorHAnsi"/>
                <w:b/>
                <w:b/>
                <w:bCs/>
                <w:color w:val="000000"/>
                <w:lang w:val="en-US"/>
              </w:rPr>
            </w:pPr>
            <w:r>
              <w:rPr>
                <w:rFonts w:eastAsia="Times New Roman" w:cs="Calibri" w:cstheme="minorHAnsi"/>
                <w:b/>
                <w:bCs/>
                <w:color w:val="000000"/>
                <w:lang w:val="en-US"/>
              </w:rPr>
              <w:t>ZAPOTRZEBOWANIE</w:t>
            </w:r>
          </w:p>
        </w:tc>
        <w:tc>
          <w:tcPr>
            <w:tcW w:w="6621" w:type="dxa"/>
            <w:tcBorders>
              <w:top w:val="single" w:sz="4" w:space="0" w:color="000000"/>
              <w:bottom w:val="single" w:sz="4" w:space="0" w:color="000000"/>
              <w:right w:val="single" w:sz="4" w:space="0" w:color="000000"/>
            </w:tcBorders>
            <w:shd w:color="auto" w:fill="FFFF00" w:val="clear"/>
            <w:vAlign w:val="bottom"/>
          </w:tcPr>
          <w:p>
            <w:pPr>
              <w:pStyle w:val="Normal"/>
              <w:widowControl w:val="false"/>
              <w:spacing w:lineRule="auto" w:line="240" w:before="0" w:after="0"/>
              <w:rPr>
                <w:rFonts w:eastAsia="Times New Roman" w:cs="Calibri" w:cstheme="minorHAnsi"/>
                <w:b/>
                <w:b/>
                <w:bCs/>
                <w:color w:val="000000"/>
                <w:lang w:val="en-US"/>
              </w:rPr>
            </w:pPr>
            <w:r>
              <w:rPr>
                <w:rFonts w:eastAsia="Times New Roman" w:cs="Calibri" w:cstheme="minorHAnsi"/>
                <w:b/>
                <w:bCs/>
                <w:color w:val="000000"/>
                <w:lang w:val="en-US"/>
              </w:rPr>
              <w:t>ZAWÓD</w:t>
            </w:r>
          </w:p>
        </w:tc>
      </w:tr>
      <w:tr>
        <w:trPr>
          <w:trHeight w:val="312" w:hRule="atLeast"/>
        </w:trPr>
        <w:tc>
          <w:tcPr>
            <w:tcW w:w="3259" w:type="dxa"/>
            <w:vMerge w:val="restart"/>
            <w:tcBorders>
              <w:left w:val="single" w:sz="4" w:space="0" w:color="000000"/>
              <w:bottom w:val="single" w:sz="4" w:space="0" w:color="000000"/>
              <w:right w:val="single" w:sz="4" w:space="0" w:color="000000"/>
            </w:tcBorders>
            <w:shd w:color="000000" w:fill="D9E1F2" w:val="clea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Deficyt poszukujących pracy</w:t>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inżynierowie chemicy i chemicy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inżynierowie budownictwa</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kierownicy budowy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inżynierowie inżynierii środowiska</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biolodzy i biotechnolodzy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lekarze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fizjoterapeuci i masażyści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nauczyciele przedmiotów zawodowych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psycholodzy i psychoterapeuci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graficy komputerowi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nauczyciele praktycznej nauki zawodu</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instruktorzy nauki jazdy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samodzielni księgowi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opiekunowie osoby starszej lub niepełnosprawnej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ds. rachunkowości i księgowości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magazynierzy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szefowie kuchni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kucharze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pomoce kuchenne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kelnerzy i barmani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fryzjerzy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kosmetyczki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sprzedawcy i kasjerzy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kierownicy sprzedaży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kamieniarze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betoniarze i zbrojarze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cieśle i stolarze budowlani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robotnicy budowlani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brukarze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dekarze i blacharze budowlani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monterzy instalacji budowlanych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ślusarze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operatorzy obrabiarek skrawających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mechanicy pojazdów samochodowych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diagności samochodowi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piekarze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cukiernicy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robotnicy obróbki drewna i stolarze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krawcy i pracownicy produkcji odzieży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kierowcy autobusów</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operatorzy urządzeń dźwigowo-transportowych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operatorzy i mechanicy sprzętu do robót ziemnych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ds. budownictwa drogowego i kolejowego</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nauczyciele języków obcych i lektorzy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spawacze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specjaliści elektroniki, automatyki i robotyki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kierowcy samochodów ciężarowych i ciągników siodłowych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murarze i tynkarze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blacharze i lakiernicy samochodowi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pielęgniarki i położne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logopedzi i audiofonolodzy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robót wykończeniowych w budownictwie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elektrycy, elektromechanicy i elektromonterzy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nauczyciele szkół specjalnych i oddziałów integracyjnych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monterzy elektronicy</w:t>
            </w:r>
          </w:p>
        </w:tc>
      </w:tr>
      <w:tr>
        <w:trPr>
          <w:trHeight w:val="312" w:hRule="atLeast"/>
        </w:trPr>
        <w:tc>
          <w:tcPr>
            <w:tcW w:w="3259" w:type="dxa"/>
            <w:vMerge w:val="restart"/>
            <w:tcBorders>
              <w:left w:val="single" w:sz="4" w:space="0" w:color="000000"/>
              <w:bottom w:val="single" w:sz="4" w:space="0" w:color="000000"/>
              <w:right w:val="single" w:sz="4" w:space="0" w:color="000000"/>
            </w:tcBorders>
            <w:shd w:color="000000" w:fill="CCFF99" w:val="clea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Równowaga popytu i podaży</w:t>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architekci i urbaniści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architekci krajobrazu</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inspektorzy nadzoru budowlanego</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inżynierowie mechanicy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geodeci i kartografowie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specjaliści technologii żywności i żywienia</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dentyści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farmaceuci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nauczyciele przedmiotów ogólnokształcących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nauczyciele nauczania wczesnoszkolnego</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nauczyciele przedszkoli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wychowawcy w placówkach oświatowych i opiekuńczych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specjaliści ds. finansowych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specjaliści ds. zarządzania zasobami ludzkimi i rekrutacji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specjaliści ds. rynku nieruchomości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prawnicy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archiwiści i muzealnicy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bibliotekoznawcy, bibliotekarze i specjaliści informacji naukowej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pedagodzy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filolodzy i tłumacze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socjolodzy i specjaliści ds. badań społeczno-ekonomicznych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dziennikarze i redaktorzy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technicy budownictwa</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technicy mechanicy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technicy informatycy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fotografowie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operatorzy aparatury medycznej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ratownicy medyczni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agenci ubezpieczeniowi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biur podróży i obsługi turystycznej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przedstawiciele handlowi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spedytorzy i logistycy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zaopatrzeniowcy i dostawcy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administracyjni i biurowi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socjalni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floryści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instruktorzy rekreacji i sportu</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listonosze i kurierzy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poczty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recepcjoniści i rejestratorzy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opiekunki dziecięce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monterzy okien i szklarze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tapicerzy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operatorzy maszyn do produkcji wyrobów cementowych i kamiennych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operatorzy maszyn do produkcji wyrobów z gumy i tworzyw sztucznych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mechanicy maszyn i urządzeń</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monterzy maszyn i urządzeń</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kierowcy samochodów osobowych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sprzątaczki i pokojowe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specjaliści ds. organizacji produkcji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sprzedaży internetowej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analitycy, testerzy i operatorzy systemów teleinformatycznych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specjaliści rolnictwa i leśnictwa</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weterynarze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telefonicznej i elektronicznej obsługi klienta, ankieterzy, teleankieterzy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rolnicy i hodowcy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monterzy konstrukcji metalowych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przetwórstwa metali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przetwórstwa spożywczego</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gospodarze obiektów, portierzy, woźni i dozorcy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robotnicy leśni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obsługi ruchu szynowego</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marynarze, pracownicy obsługi statków i portów</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ogrodnicy i sadownicy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poligraficzni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fizyczni w produkcji i pracach prostych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kierownicy ds. zarządzania i obsługi biznesu</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kierownicy ds. produkcji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kierownicy ds. usług</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służb mundurowych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ochrony fizycznej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myjni, pralni i prasowalni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ds. jakości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sekretarki i asystenci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inżynierowie elektrycy i energetycy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specjaliści telekomunikacji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pozostali specjaliści edukacji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optycy i pracownicy wytwarzający protezy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animatorzy kultury i organizatorzy imprez</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zajmujący się zwierzętami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projektanci i administratorzy baz danych, programiści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administratorzy stron internetowych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specjaliści ds. PR, reklamy, marketingu i sprzedaży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windykatorzy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pracownicy ds. ochrony środowiska i bhp</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meteorolodzy, geolodzy, geografowie</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plastycy, dekoratorzy wnętrz i konserwatorzy zabytków</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filozofowie, historycy, politolodzy i kulturoznawcy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ds. techniki dentystycznej</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asystenci w edukacji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kierownicy w instytucjach społecznych i kultury</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operatorzy maszyn rolniczych i ogrodniczych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rzemieślnicy obróbki szkła i metali szlachetnych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ceramicy przemysłowi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pracownicy usług pogrzebowych</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kierownicy ds. logistyki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projektanci wzornictwa przemysłowego i operatorzy CAD</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rPr>
            </w:pPr>
            <w:r>
              <w:rPr>
                <w:rFonts w:eastAsia="Times New Roman" w:cs="Calibri" w:cstheme="minorHAnsi"/>
                <w:color w:val="000000"/>
              </w:rPr>
              <w:t>specjaliści ds. projektowania, wdrażania i doskonalenia produktów i usług cyfrowych</w:t>
            </w:r>
          </w:p>
        </w:tc>
      </w:tr>
      <w:tr>
        <w:trPr>
          <w:trHeight w:val="312" w:hRule="atLeast"/>
        </w:trPr>
        <w:tc>
          <w:tcPr>
            <w:tcW w:w="3259" w:type="dxa"/>
            <w:vMerge w:val="restart"/>
            <w:tcBorders>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Nadwyżka poszukujących pracy</w:t>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ekonomiści</w:t>
            </w:r>
          </w:p>
        </w:tc>
      </w:tr>
      <w:tr>
        <w:trPr>
          <w:trHeight w:val="312" w:hRule="atLeast"/>
        </w:trPr>
        <w:tc>
          <w:tcPr>
            <w:tcW w:w="32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s="Calibri" w:cstheme="minorHAnsi"/>
                <w:color w:val="000000"/>
                <w:sz w:val="24"/>
                <w:szCs w:val="24"/>
                <w:lang w:val="en-US"/>
              </w:rPr>
            </w:pPr>
            <w:r>
              <w:rPr>
                <w:rFonts w:eastAsia="Times New Roman" w:cs="Calibri" w:cstheme="minorHAnsi"/>
                <w:color w:val="000000"/>
                <w:sz w:val="24"/>
                <w:szCs w:val="24"/>
                <w:lang w:val="en-US"/>
              </w:rPr>
            </w:r>
          </w:p>
        </w:tc>
        <w:tc>
          <w:tcPr>
            <w:tcW w:w="662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eastAsia="Times New Roman" w:cs="Calibri" w:cstheme="minorHAnsi"/>
                <w:color w:val="000000"/>
                <w:lang w:val="en-US"/>
              </w:rPr>
            </w:pPr>
            <w:r>
              <w:rPr>
                <w:rFonts w:eastAsia="Times New Roman" w:cs="Calibri" w:cstheme="minorHAnsi"/>
                <w:color w:val="000000"/>
                <w:lang w:val="en-US"/>
              </w:rPr>
              <w:t>specjaliści ds. administracji</w:t>
            </w:r>
          </w:p>
        </w:tc>
      </w:tr>
    </w:tbl>
    <w:p>
      <w:pPr>
        <w:pStyle w:val="NoSpacing"/>
        <w:jc w:val="center"/>
        <w:rPr>
          <w:rFonts w:ascii="Calibri" w:hAnsi="Calibri" w:cs="Calibri" w:asciiTheme="minorHAnsi" w:cstheme="minorHAnsi" w:hAnsiTheme="minorHAnsi"/>
          <w:sz w:val="20"/>
          <w:szCs w:val="20"/>
        </w:rPr>
      </w:pPr>
      <w:r>
        <w:rPr>
          <w:rFonts w:cs="Calibri" w:cstheme="minorHAnsi"/>
          <w:sz w:val="20"/>
          <w:szCs w:val="20"/>
        </w:rPr>
        <w:t>Źródło: Barometr zawodów 2022</w:t>
      </w:r>
    </w:p>
    <w:p>
      <w:pPr>
        <w:pStyle w:val="NoSpacing"/>
        <w:jc w:val="center"/>
        <w:rPr>
          <w:rFonts w:ascii="Calibri" w:hAnsi="Calibri" w:cs="Calibri" w:asciiTheme="minorHAnsi" w:cstheme="minorHAnsi" w:hAnsiTheme="minorHAnsi"/>
        </w:rPr>
      </w:pPr>
      <w:r>
        <w:rPr>
          <w:rFonts w:cs="Calibri" w:cstheme="minorHAnsi"/>
        </w:rPr>
      </w:r>
    </w:p>
    <w:p>
      <w:pPr>
        <w:pStyle w:val="Normal"/>
        <w:spacing w:lineRule="auto" w:line="240" w:before="0" w:after="0"/>
        <w:jc w:val="both"/>
        <w:rPr>
          <w:rFonts w:eastAsia="SimSun" w:cs="Calibri" w:cstheme="minorHAnsi"/>
          <w:b/>
          <w:b/>
          <w:bCs/>
          <w:lang w:eastAsia="zh-CN"/>
        </w:rPr>
      </w:pPr>
      <w:r>
        <w:rPr>
          <w:rFonts w:eastAsia="SimSun" w:cs="Calibri" w:cstheme="minorHAnsi"/>
          <w:b/>
          <w:bCs/>
          <w:lang w:eastAsia="zh-CN"/>
        </w:rPr>
        <w:t>Analiza przyczyn problemu bezrobocia na terenie gminy:</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 xml:space="preserve">mała liczba miejsc pracy, </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niska przedsiębiorczość mieszkańców,</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niskie kwalifikacje zawodowe mieszkańców,</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brak systemowych rozwiązań związanych w pozyskaniem miejsca pracy,</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niewielka liczba szkół przygotowujących do wykonywania poszukiwanych na runku pracy zawodów,</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niewielka ilość doradztwa zawodowego w programach nauczania,</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małe rozeznanie mieszkańców na temat potrzeby kształcenia w konkretnym zawodzie,</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mała aktywność osób długotrwale bezrobotnych,</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pozorne bezrobocie,</w:t>
      </w:r>
    </w:p>
    <w:p>
      <w:pPr>
        <w:pStyle w:val="ListParagraph"/>
        <w:numPr>
          <w:ilvl w:val="0"/>
          <w:numId w:val="16"/>
        </w:numPr>
        <w:spacing w:lineRule="auto" w:line="240" w:before="0" w:after="0"/>
        <w:jc w:val="both"/>
        <w:rPr>
          <w:rFonts w:ascii="Calibri" w:hAnsi="Calibri" w:cs="Calibri" w:asciiTheme="minorHAnsi" w:cstheme="minorHAnsi" w:hAnsiTheme="minorHAnsi"/>
        </w:rPr>
      </w:pPr>
      <w:r>
        <w:rPr>
          <w:rFonts w:cs="Calibri" w:cstheme="minorHAnsi"/>
        </w:rPr>
        <w:t>stworzenie warunków lokalizacyjnych do pozyskania nowych przedsiębiorców przez władze lokalne.</w:t>
      </w:r>
    </w:p>
    <w:p>
      <w:pPr>
        <w:pStyle w:val="NoSpacing"/>
        <w:jc w:val="both"/>
        <w:rPr>
          <w:rFonts w:ascii="Calibri" w:hAnsi="Calibri" w:cs="Calibri" w:asciiTheme="minorHAnsi" w:cstheme="minorHAnsi" w:hAnsiTheme="minorHAnsi"/>
        </w:rPr>
      </w:pPr>
      <w:r>
        <w:rPr>
          <w:rFonts w:cs="Calibri" w:cstheme="minorHAnsi"/>
        </w:rPr>
      </w:r>
    </w:p>
    <w:p>
      <w:pPr>
        <w:pStyle w:val="NoSpacing"/>
        <w:jc w:val="both"/>
        <w:rPr>
          <w:rFonts w:ascii="Calibri" w:hAnsi="Calibri" w:cs="Calibri" w:asciiTheme="minorHAnsi" w:cstheme="minorHAnsi" w:hAnsiTheme="minorHAnsi"/>
          <w:b/>
          <w:b/>
          <w:bCs/>
        </w:rPr>
      </w:pPr>
      <w:r>
        <w:rPr>
          <w:rFonts w:cs="Calibri" w:cstheme="minorHAnsi"/>
          <w:b/>
          <w:bCs/>
        </w:rPr>
        <w:t>Zidentyfikowane potrzeby w obszarze „Przedsiębiorczości/ rynku pracy”:</w:t>
      </w:r>
    </w:p>
    <w:p>
      <w:pPr>
        <w:pStyle w:val="Normal"/>
        <w:spacing w:lineRule="auto" w:line="240" w:before="0" w:after="0"/>
        <w:jc w:val="both"/>
        <w:rPr/>
      </w:pPr>
      <w:r>
        <w:rPr/>
      </w:r>
    </w:p>
    <w:p>
      <w:pPr>
        <w:pStyle w:val="Normal"/>
        <w:spacing w:lineRule="auto" w:line="240" w:before="0" w:after="0"/>
        <w:jc w:val="both"/>
        <w:rPr/>
      </w:pPr>
      <w:r>
        <w:rPr/>
        <w:t>Działania przyczyniające się do poprawa warunków do inwestowania na terenie gminy:</w:t>
      </w:r>
    </w:p>
    <w:p>
      <w:pPr>
        <w:pStyle w:val="Normal"/>
        <w:spacing w:lineRule="auto" w:line="240" w:before="0" w:after="0"/>
        <w:jc w:val="both"/>
        <w:rPr>
          <w:rFonts w:ascii="Calibri" w:hAnsi="Calibri" w:eastAsia="Calibri" w:cs="Times New Roman"/>
        </w:rPr>
      </w:pPr>
      <w:r>
        <w:rPr>
          <w:rFonts w:eastAsia="Calibri" w:cs="Times New Roman"/>
        </w:rPr>
        <w:t>1. Organizacja Forum przedsiębiorców (cyklicznego spotkania integrującego środowisko przedsiębiorstw).</w:t>
      </w:r>
    </w:p>
    <w:p>
      <w:pPr>
        <w:pStyle w:val="Normal"/>
        <w:spacing w:lineRule="auto" w:line="240" w:before="0" w:after="0"/>
        <w:jc w:val="both"/>
        <w:rPr>
          <w:rFonts w:ascii="Calibri" w:hAnsi="Calibri" w:eastAsia="Calibri" w:cs="Times New Roman"/>
        </w:rPr>
      </w:pPr>
      <w:r>
        <w:rPr>
          <w:rFonts w:eastAsia="Calibri" w:cs="Times New Roman"/>
        </w:rPr>
        <w:t>2. Stworzenie systemu ulg i zachęt (m.in. podatkowych) mających ułatwić inwestorom podjęcie decyzji o lokalizacji inwestycji na terenie gminy.</w:t>
      </w:r>
    </w:p>
    <w:p>
      <w:pPr>
        <w:pStyle w:val="Normal"/>
        <w:spacing w:lineRule="auto" w:line="240" w:before="0" w:after="0"/>
        <w:jc w:val="both"/>
        <w:rPr>
          <w:rFonts w:ascii="Calibri" w:hAnsi="Calibri" w:eastAsia="Calibri" w:cs="Times New Roman"/>
        </w:rPr>
      </w:pPr>
      <w:r>
        <w:rPr>
          <w:rFonts w:eastAsia="Times New Roman" w:cs="Calibri"/>
          <w:color w:val="000000"/>
          <w:lang w:eastAsia="pl-PL"/>
        </w:rPr>
        <w:t>3. Stworzenie centrum obsługi przedsiębiorcy i inwestora (inkubatora przedsiębiorczości) - wsparcie prawne, finansowe i organizacyjne przedsiębiorców m.in. w zakresie szkoleń, wyjazdów studyjnych, projektów dofinansowujących rozpoczęcie i/lub rozwój działalności gospodarczej.</w:t>
      </w:r>
    </w:p>
    <w:p>
      <w:pPr>
        <w:pStyle w:val="Normal"/>
        <w:spacing w:lineRule="auto" w:line="240" w:before="0" w:after="0"/>
        <w:jc w:val="both"/>
        <w:rPr>
          <w:rFonts w:ascii="Calibri" w:hAnsi="Calibri" w:eastAsia="Calibri" w:cs="Times New Roman"/>
        </w:rPr>
      </w:pPr>
      <w:r>
        <w:rPr>
          <w:rFonts w:eastAsia="Times New Roman" w:cs="Calibri"/>
          <w:color w:val="000000"/>
          <w:lang w:eastAsia="pl-PL"/>
        </w:rPr>
        <w:t xml:space="preserve">4. Pełnienie przez samorząd roli tzw. operatora (pośrednika) - udzielanie dofinansowania, dotacji </w:t>
        <w:br/>
        <w:t>i pożyczek na rozpoczęcie działalności gospodarczej z wykorzystaniem środków unijnych i krajowych.</w:t>
      </w:r>
    </w:p>
    <w:p>
      <w:pPr>
        <w:pStyle w:val="Normal"/>
        <w:spacing w:lineRule="auto" w:line="240" w:before="0" w:after="0"/>
        <w:jc w:val="both"/>
        <w:rPr>
          <w:rFonts w:ascii="Calibri" w:hAnsi="Calibri" w:eastAsia="Calibri" w:cs="Times New Roman"/>
          <w:lang w:eastAsia="ar-SA"/>
        </w:rPr>
      </w:pPr>
      <w:r>
        <w:rPr>
          <w:rFonts w:eastAsia="Calibri" w:cs="Times New Roman"/>
        </w:rPr>
        <w:t>5. Ułatwienia administracyjne dla nowopowstających podmiotów gospodarczych, zwłaszcza tworzących miejsca pracy na terenie gminy.</w:t>
      </w:r>
    </w:p>
    <w:p>
      <w:pPr>
        <w:pStyle w:val="Normal"/>
        <w:spacing w:lineRule="auto" w:line="240" w:before="0" w:after="0"/>
        <w:jc w:val="both"/>
        <w:rPr>
          <w:rFonts w:ascii="Calibri" w:hAnsi="Calibri" w:eastAsia="Calibri" w:cs="Times New Roman"/>
          <w:lang w:eastAsia="ar-SA"/>
        </w:rPr>
      </w:pPr>
      <w:r>
        <w:rPr>
          <w:rFonts w:eastAsia="Calibri" w:cs="Times New Roman"/>
        </w:rPr>
        <w:t>6. Promowanie podmiotów gospodarczych działających na terenie gminy.</w:t>
      </w:r>
    </w:p>
    <w:p>
      <w:pPr>
        <w:pStyle w:val="Normal"/>
        <w:spacing w:lineRule="auto" w:line="240" w:before="0" w:after="0"/>
        <w:jc w:val="both"/>
        <w:rPr>
          <w:rFonts w:ascii="Calibri" w:hAnsi="Calibri" w:eastAsia="Calibri" w:cs="Times New Roman"/>
        </w:rPr>
      </w:pPr>
      <w:r>
        <w:rPr>
          <w:rFonts w:eastAsia="Calibri" w:cs="Times New Roman"/>
        </w:rPr>
        <w:t>7. Rozwój współpracy sektora prywatnego z sektorem publicznym.</w:t>
      </w:r>
    </w:p>
    <w:p>
      <w:pPr>
        <w:pStyle w:val="NoSpacing"/>
        <w:jc w:val="both"/>
        <w:rPr>
          <w:rFonts w:cs="Calibri"/>
          <w:lang w:eastAsia="pl-PL"/>
        </w:rPr>
      </w:pPr>
      <w:r>
        <w:rPr>
          <w:rFonts w:cs="Calibri"/>
          <w:lang w:eastAsia="pl-PL"/>
        </w:rPr>
        <w:t>8. Promowanie postaw przedsiębiorczości wśród dzieci i młodzieży.</w:t>
      </w:r>
    </w:p>
    <w:p>
      <w:pPr>
        <w:pStyle w:val="NoSpacing"/>
        <w:ind w:left="768" w:hanging="0"/>
        <w:jc w:val="both"/>
        <w:rPr>
          <w:rFonts w:ascii="Calibri" w:hAnsi="Calibri" w:cs="Calibri" w:asciiTheme="minorHAnsi" w:cstheme="minorHAnsi" w:hAnsiTheme="minorHAnsi"/>
        </w:rPr>
      </w:pPr>
      <w:r>
        <w:rPr>
          <w:rFonts w:cs="Calibri" w:cstheme="minorHAnsi"/>
        </w:rPr>
      </w:r>
      <w:r>
        <w:br w:type="page"/>
      </w:r>
    </w:p>
    <w:p>
      <w:pPr>
        <w:pStyle w:val="Normal"/>
        <w:spacing w:lineRule="auto" w:line="240" w:before="0" w:after="0"/>
        <w:jc w:val="both"/>
        <w:rPr/>
      </w:pPr>
      <w:bookmarkStart w:id="293" w:name="_Toc69212101"/>
      <w:r>
        <w:rPr/>
        <w:t>Tworzenie terenów inwestycyjnych:</w:t>
      </w:r>
    </w:p>
    <w:p>
      <w:pPr>
        <w:pStyle w:val="Normal"/>
        <w:spacing w:lineRule="auto" w:line="240" w:before="0" w:after="0"/>
        <w:jc w:val="both"/>
        <w:rPr>
          <w:rFonts w:ascii="Calibri" w:hAnsi="Calibri" w:eastAsia="Calibri" w:cs="Times New Roman"/>
        </w:rPr>
      </w:pPr>
      <w:r>
        <w:rPr>
          <w:rFonts w:eastAsia="Calibri" w:cs="Calibri"/>
          <w:lang w:eastAsia="pl-PL"/>
        </w:rPr>
        <w:t xml:space="preserve">1. </w:t>
      </w:r>
      <w:r>
        <w:rPr>
          <w:rFonts w:eastAsia="Calibri" w:cs="Times New Roman"/>
          <w:lang w:eastAsia="pl-PL"/>
        </w:rPr>
        <w:t>Utworzenie terenów inwestycyjnych poprzez u</w:t>
      </w:r>
      <w:r>
        <w:rPr>
          <w:rFonts w:eastAsia="Calibri" w:cs="Times New Roman"/>
        </w:rPr>
        <w:t>zbrojenie terenów w drogi dojazdowe, drogi wewnętrzne wraz z oświetleniem i odwodnieniem, budowę sieci kanalizacyjnej, wodociągowej</w:t>
        <w:br/>
        <w:t>i deszczowej, sieci teletechnicznej.</w:t>
      </w:r>
    </w:p>
    <w:p>
      <w:pPr>
        <w:pStyle w:val="Normal"/>
        <w:spacing w:lineRule="auto" w:line="240" w:before="0" w:after="0"/>
        <w:rPr>
          <w:rFonts w:ascii="Calibri" w:hAnsi="Calibri" w:eastAsia="Calibri" w:cs="Times New Roman"/>
        </w:rPr>
      </w:pPr>
      <w:r>
        <w:rPr>
          <w:rFonts w:eastAsia="Times New Roman" w:cs="Calibri"/>
          <w:color w:val="000000"/>
          <w:lang w:eastAsia="pl-PL"/>
        </w:rPr>
        <w:t>2. Przygotowanie i promocja oferty inwestycyjnej.</w:t>
      </w:r>
    </w:p>
    <w:p>
      <w:pPr>
        <w:pStyle w:val="Normal"/>
        <w:spacing w:lineRule="auto" w:line="240" w:before="0" w:after="0"/>
        <w:rPr>
          <w:rFonts w:ascii="Calibri" w:hAnsi="Calibri" w:eastAsia="Times New Roman" w:cs="Calibri"/>
          <w:color w:val="000000"/>
          <w:lang w:eastAsia="pl-PL"/>
        </w:rPr>
      </w:pPr>
      <w:r>
        <w:rPr>
          <w:rFonts w:eastAsia="Times New Roman" w:cs="Calibri"/>
          <w:color w:val="000000"/>
          <w:lang w:eastAsia="pl-PL"/>
        </w:rPr>
        <w:t>3. Pozyskiwanie inwestorów – sprzedaż lub dzierżawa terenów inwestycyjnych.</w:t>
      </w:r>
    </w:p>
    <w:p>
      <w:pPr>
        <w:pStyle w:val="Normal"/>
        <w:spacing w:lineRule="auto" w:line="240" w:before="0" w:after="0"/>
        <w:jc w:val="both"/>
        <w:rPr>
          <w:rFonts w:eastAsia="Times New Roman" w:cs="Calibri"/>
          <w:color w:val="000000"/>
          <w:lang w:eastAsia="pl-PL"/>
        </w:rPr>
      </w:pPr>
      <w:r>
        <w:rPr>
          <w:rFonts w:eastAsia="Times New Roman" w:cs="Calibri"/>
          <w:color w:val="000000"/>
          <w:lang w:eastAsia="pl-PL"/>
        </w:rPr>
        <w:t>4. Zakup i sprzedaż terenów pod budownictwo mieszkaniowe.</w:t>
      </w:r>
    </w:p>
    <w:p>
      <w:pPr>
        <w:pStyle w:val="Normal"/>
        <w:spacing w:lineRule="auto" w:line="240" w:before="0" w:after="0"/>
        <w:jc w:val="both"/>
        <w:rPr>
          <w:rFonts w:eastAsia="Times New Roman" w:cs="Calibri"/>
          <w:color w:val="000000"/>
          <w:lang w:eastAsia="pl-PL"/>
        </w:rPr>
      </w:pPr>
      <w:r>
        <w:rPr>
          <w:rFonts w:eastAsia="Times New Roman" w:cs="Calibri"/>
          <w:color w:val="000000"/>
          <w:lang w:eastAsia="pl-PL"/>
        </w:rPr>
      </w:r>
    </w:p>
    <w:p>
      <w:pPr>
        <w:pStyle w:val="Normal"/>
        <w:rPr>
          <w:rFonts w:eastAsia="Times New Roman" w:cs="Calibri" w:cstheme="minorHAnsi"/>
          <w:b/>
          <w:b/>
          <w:bCs/>
          <w:kern w:val="2"/>
        </w:rPr>
      </w:pPr>
      <w:r>
        <w:rPr/>
        <w:t>Wsparcie działalności rolniczej i pozarolniczej</w:t>
      </w:r>
      <w:r>
        <w:rPr>
          <w:rFonts w:eastAsia="Times New Roman" w:cs="Calibri" w:cstheme="minorHAnsi"/>
          <w:b/>
          <w:bCs/>
          <w:kern w:val="2"/>
        </w:rPr>
        <w:t>:</w:t>
      </w:r>
    </w:p>
    <w:p>
      <w:pPr>
        <w:pStyle w:val="Normal"/>
        <w:spacing w:lineRule="auto" w:line="240" w:before="0" w:after="0"/>
        <w:jc w:val="both"/>
        <w:rPr>
          <w:rFonts w:ascii="Calibri" w:hAnsi="Calibri" w:eastAsia="Calibri" w:cs="Times New Roman"/>
        </w:rPr>
      </w:pPr>
      <w:r>
        <w:rPr>
          <w:rFonts w:eastAsia="Calibri" w:cs="Times New Roman"/>
        </w:rPr>
        <w:t xml:space="preserve">W związku z dużym zainteresowaniem żywnością tradycyjną i regionalną, a także poszukiwaniem produktów wysokiej jakości, z uwzględnieniem produktów ekologicznych, produktów opartych </w:t>
        <w:br/>
        <w:t>o naturalne składniki (zioła, kosmetyki); istotnym jest stworzenie lokalnej marki, która będzie mogła pełnić następujące funkcje: identyfikacji wartości miejsca, integracji społeczności lokalnej, aktywizacji do przedsiębiorczości (tworzenie postaw przedsiębiorczych, lokalnych miejsc pracy), promocji. Tworzenie pozarolniczych miejsc pracy (np. usługi dla ludności, usługi na rzecz rolnictwa) wpływać będzie na zrównoważony rozwój gminy i może być efektem dywersyfikacji działalności gospodarstw rolnych (usługi turystyczne, bio-edukacja, rekreacja). Kierunki działań przyczyniające się do wsparcia działalności rolniczej i pozarolniczej:</w:t>
      </w:r>
    </w:p>
    <w:p>
      <w:pPr>
        <w:pStyle w:val="ListParagraph"/>
        <w:numPr>
          <w:ilvl w:val="0"/>
          <w:numId w:val="77"/>
        </w:numPr>
        <w:spacing w:lineRule="auto" w:line="240" w:before="0" w:after="0"/>
        <w:jc w:val="both"/>
        <w:rPr/>
      </w:pPr>
      <w:r>
        <w:rPr/>
        <w:t xml:space="preserve">rozwój inteligentnej specjalizacji regionu świętokrzyskiego tj. nowoczesnego rolnictwa </w:t>
        <w:br/>
        <w:t>i przetwórstwa spożywczego, ze szczególnym uwzględnieniem rolnictwa ekologicznego, w tym poprawa jakości produktów rolnych poprzez wspieranie innowacyjności i usług sieciowych w zakresie wykorzystania produktów rolniczych,</w:t>
      </w:r>
    </w:p>
    <w:p>
      <w:pPr>
        <w:pStyle w:val="Normal"/>
        <w:numPr>
          <w:ilvl w:val="0"/>
          <w:numId w:val="72"/>
        </w:numPr>
        <w:spacing w:lineRule="auto" w:line="240" w:before="0" w:after="0"/>
        <w:jc w:val="both"/>
        <w:rPr>
          <w:rFonts w:ascii="Calibri" w:hAnsi="Calibri" w:eastAsia="Calibri" w:cs="Times New Roman"/>
        </w:rPr>
      </w:pPr>
      <w:r>
        <w:rPr>
          <w:rFonts w:eastAsia="Times New Roman" w:cs="Calibri"/>
          <w:color w:val="000000"/>
          <w:lang w:eastAsia="pl-PL"/>
        </w:rPr>
        <w:t>stworzenie placu handlowego - Targu Gminnego,</w:t>
      </w:r>
      <w:r>
        <w:rPr>
          <w:rFonts w:eastAsia="Calibri" w:cs="Times New Roman"/>
        </w:rPr>
        <w:t xml:space="preserve"> umożliwiającego sprzedaż bezpośrednią produktów pochodzących z własnych gospodarstw rolnych, </w:t>
      </w:r>
    </w:p>
    <w:p>
      <w:pPr>
        <w:pStyle w:val="Normal"/>
        <w:numPr>
          <w:ilvl w:val="0"/>
          <w:numId w:val="72"/>
        </w:numPr>
        <w:spacing w:lineRule="auto" w:line="240" w:before="0" w:after="0"/>
        <w:jc w:val="both"/>
        <w:rPr>
          <w:rFonts w:ascii="Calibri" w:hAnsi="Calibri" w:eastAsia="Calibri" w:cs="Times New Roman"/>
        </w:rPr>
      </w:pPr>
      <w:r>
        <w:rPr>
          <w:rFonts w:eastAsia="Calibri" w:cs="Times New Roman"/>
        </w:rPr>
        <w:t>zachęcanie i promowanie gospodarstw zajmujących się produkcją i sprzedażą zdrowej żywności (ekologicznej),</w:t>
      </w:r>
    </w:p>
    <w:p>
      <w:pPr>
        <w:pStyle w:val="Normal"/>
        <w:numPr>
          <w:ilvl w:val="0"/>
          <w:numId w:val="72"/>
        </w:numPr>
        <w:spacing w:lineRule="auto" w:line="240" w:before="0" w:after="0"/>
        <w:jc w:val="both"/>
        <w:rPr>
          <w:rFonts w:ascii="Calibri" w:hAnsi="Calibri" w:eastAsia="Calibri" w:cs="Times New Roman"/>
        </w:rPr>
      </w:pPr>
      <w:r>
        <w:rPr>
          <w:rFonts w:eastAsia="Calibri" w:cs="Times New Roman"/>
        </w:rPr>
        <w:t xml:space="preserve">rozwój okołorolniczych działalności gospodarczych, związanych np. z agroturystyką, turystyką </w:t>
        <w:br/>
        <w:t xml:space="preserve">i wypoczynkiem, </w:t>
      </w:r>
    </w:p>
    <w:p>
      <w:pPr>
        <w:pStyle w:val="Normal"/>
        <w:numPr>
          <w:ilvl w:val="0"/>
          <w:numId w:val="72"/>
        </w:numPr>
        <w:spacing w:lineRule="auto" w:line="240" w:before="0" w:after="0"/>
        <w:jc w:val="both"/>
        <w:rPr>
          <w:rFonts w:ascii="Calibri" w:hAnsi="Calibri" w:eastAsia="Calibri" w:cs="Times New Roman"/>
        </w:rPr>
      </w:pPr>
      <w:r>
        <w:rPr>
          <w:rFonts w:eastAsia="Times New Roman" w:cs="Calibri"/>
          <w:color w:val="000000"/>
          <w:lang w:eastAsia="pl-PL"/>
        </w:rPr>
        <w:t xml:space="preserve">wsparcie osób zajmujących się rolnictwem w zwiększeniu jego dochodowości (pomoc </w:t>
        <w:br/>
        <w:t>w tworzeniu grup producenckich, organizacja szkoleń, pomoc w pozyskiwaniu środków zewnętrznych),</w:t>
      </w:r>
    </w:p>
    <w:p>
      <w:pPr>
        <w:pStyle w:val="Normal"/>
        <w:numPr>
          <w:ilvl w:val="0"/>
          <w:numId w:val="72"/>
        </w:numPr>
        <w:spacing w:lineRule="auto" w:line="240" w:before="0" w:after="0"/>
        <w:jc w:val="both"/>
        <w:rPr>
          <w:rFonts w:ascii="Calibri" w:hAnsi="Calibri" w:eastAsia="Calibri" w:cs="Times New Roman"/>
        </w:rPr>
      </w:pPr>
      <w:r>
        <w:rPr>
          <w:rFonts w:eastAsia="Times New Roman" w:cs="Calibri"/>
          <w:color w:val="000000"/>
          <w:lang w:eastAsia="pl-PL"/>
        </w:rPr>
        <w:t>opracowanie wspólnego systemu związanego z promocją produktów lokalnych,</w:t>
      </w:r>
    </w:p>
    <w:p>
      <w:pPr>
        <w:pStyle w:val="Normal"/>
        <w:numPr>
          <w:ilvl w:val="0"/>
          <w:numId w:val="72"/>
        </w:numPr>
        <w:spacing w:lineRule="auto" w:line="240" w:before="0" w:after="0"/>
        <w:jc w:val="both"/>
        <w:rPr>
          <w:rFonts w:ascii="Calibri" w:hAnsi="Calibri" w:eastAsia="Calibri" w:cs="Times New Roman"/>
        </w:rPr>
      </w:pPr>
      <w:r>
        <w:rPr>
          <w:rFonts w:eastAsia="Calibri" w:cs="Times New Roman"/>
        </w:rPr>
        <w:t>zwiększenie jakości kadr lokalnej gospodarki poprzez</w:t>
      </w:r>
      <w:r>
        <w:rPr>
          <w:rFonts w:eastAsia="Times New Roman" w:cs="Calibri"/>
          <w:color w:val="000000"/>
          <w:lang w:eastAsia="pl-PL"/>
        </w:rPr>
        <w:t xml:space="preserve"> aktywizację osób bezrobotnych </w:t>
        <w:br/>
        <w:t>i biernych zawodowo,</w:t>
      </w:r>
    </w:p>
    <w:p>
      <w:pPr>
        <w:pStyle w:val="Normal"/>
        <w:numPr>
          <w:ilvl w:val="0"/>
          <w:numId w:val="72"/>
        </w:numPr>
        <w:spacing w:lineRule="auto" w:line="240" w:before="0" w:after="0"/>
        <w:jc w:val="both"/>
        <w:rPr>
          <w:rFonts w:ascii="Calibri" w:hAnsi="Calibri" w:eastAsia="Calibri" w:cs="Times New Roman"/>
        </w:rPr>
      </w:pPr>
      <w:r>
        <w:rPr>
          <w:rFonts w:eastAsia="Times New Roman" w:cs="Calibri"/>
          <w:color w:val="000000"/>
          <w:lang w:eastAsia="pl-PL"/>
        </w:rPr>
        <w:t xml:space="preserve">wsparcie działań związanych z gospodarką cyrkularną w przedsiębiorstwach, </w:t>
      </w:r>
      <w:r>
        <w:rPr>
          <w:rFonts w:eastAsia="Calibri" w:cs="Times New Roman"/>
        </w:rPr>
        <w:t xml:space="preserve">czyli gospodarką obiegu zamkniętego, która ma być odpowiedzią na problem marnowania surowców i rosnącego zanieczyszczenia powietrza. Odpowiedzialna produkcja i konsumpcja, to kluczowe aspekty tego obszaru. Wprowadzenie zasad gospodarki cyrkularnej, szeroka edukacja w tym zakresie, przyniosą korzyści w trzech aspektach: społecznym, ekonomicznym </w:t>
        <w:br/>
        <w:t>i środowiskowym.</w:t>
      </w:r>
    </w:p>
    <w:p>
      <w:pPr>
        <w:pStyle w:val="Normal"/>
        <w:rPr>
          <w:rFonts w:eastAsia="Times New Roman" w:cs="Calibri" w:cstheme="minorHAnsi"/>
          <w:b/>
          <w:b/>
          <w:bCs/>
          <w:kern w:val="2"/>
        </w:rPr>
      </w:pPr>
      <w:r>
        <w:rPr>
          <w:rFonts w:eastAsia="Times New Roman" w:cs="Calibri" w:cstheme="minorHAnsi"/>
          <w:b/>
          <w:bCs/>
          <w:kern w:val="2"/>
        </w:rPr>
      </w:r>
      <w:r>
        <w:br w:type="page"/>
      </w:r>
    </w:p>
    <w:p>
      <w:pPr>
        <w:pStyle w:val="Nagwek1"/>
        <w:numPr>
          <w:ilvl w:val="0"/>
          <w:numId w:val="12"/>
        </w:numPr>
        <w:spacing w:lineRule="auto" w:line="240" w:before="0" w:after="120"/>
        <w:ind w:left="288" w:hanging="288"/>
        <w:rPr>
          <w:rFonts w:ascii="Calibri" w:hAnsi="Calibri" w:cs="Calibri" w:asciiTheme="minorHAnsi" w:cstheme="minorHAnsi" w:hAnsiTheme="minorHAnsi"/>
        </w:rPr>
      </w:pPr>
      <w:bookmarkStart w:id="294" w:name="_Toc69212101"/>
      <w:bookmarkStart w:id="295" w:name="_Toc118887475"/>
      <w:r>
        <w:rPr>
          <w:rFonts w:cs="Calibri" w:ascii="Calibri" w:hAnsi="Calibri" w:asciiTheme="minorHAnsi" w:cstheme="minorHAnsi" w:hAnsiTheme="minorHAnsi"/>
        </w:rPr>
        <w:t>Finanse samorządowe</w:t>
      </w:r>
      <w:bookmarkEnd w:id="294"/>
      <w:bookmarkEnd w:id="295"/>
    </w:p>
    <w:p>
      <w:pPr>
        <w:pStyle w:val="Normal"/>
        <w:spacing w:lineRule="auto" w:line="240" w:before="0" w:after="0"/>
        <w:jc w:val="both"/>
        <w:rPr>
          <w:rFonts w:cs="Calibri" w:cstheme="minorHAnsi"/>
          <w:b/>
          <w:b/>
          <w:bCs/>
        </w:rPr>
      </w:pPr>
      <w:r>
        <w:rPr>
          <w:rFonts w:cs="Calibri" w:cstheme="minorHAnsi"/>
          <w:b/>
          <w:bCs/>
        </w:rPr>
        <w:t xml:space="preserve">Dochody gminy </w:t>
      </w:r>
    </w:p>
    <w:p>
      <w:pPr>
        <w:pStyle w:val="Normal"/>
        <w:spacing w:lineRule="auto" w:line="240" w:before="0" w:after="0"/>
        <w:jc w:val="both"/>
        <w:rPr>
          <w:rFonts w:cs="Calibri" w:cstheme="minorHAnsi"/>
        </w:rPr>
      </w:pPr>
      <w:r>
        <w:rPr>
          <w:rFonts w:cs="Calibri" w:cstheme="minorHAnsi"/>
        </w:rPr>
        <w:t xml:space="preserve">Dochodami jednostek samorządu terytorialnego są dochody własne, subwencja ogólna i dotacje celowe z budżetu państwa. Dochodami mogą być również środki pochodzące ze źródeł zagranicznych niepodlegające zwrotowi, w tym środki z budżetu Unii Europejskiej oraz inne środki określone </w:t>
        <w:br/>
        <w:t>w odrębnych przepisach.</w:t>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Caption"/>
        <w:spacing w:lineRule="auto" w:line="240" w:before="0" w:after="0"/>
        <w:jc w:val="center"/>
        <w:rPr>
          <w:rFonts w:ascii="Calibri" w:hAnsi="Calibri" w:cs="Calibri" w:asciiTheme="minorHAnsi" w:cstheme="minorHAnsi" w:hAnsiTheme="minorHAnsi"/>
          <w:b w:val="false"/>
          <w:b w:val="false"/>
          <w:bCs w:val="false"/>
        </w:rPr>
      </w:pPr>
      <w:bookmarkStart w:id="296" w:name="_Toc118887804"/>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55</w:t>
      </w:r>
      <w:r>
        <w:rPr>
          <w:b w:val="false"/>
          <w:bCs w:val="false"/>
          <w:rFonts w:cs="Calibri"/>
        </w:rPr>
        <w:fldChar w:fldCharType="end"/>
      </w:r>
      <w:r>
        <w:rPr>
          <w:rFonts w:cs="Calibri" w:cstheme="minorHAnsi"/>
          <w:b w:val="false"/>
          <w:bCs w:val="false"/>
        </w:rPr>
        <w:t xml:space="preserve"> Dochody i wydatki gminy Dwikozy w latach 2017-2021</w:t>
      </w:r>
      <w:bookmarkEnd w:id="296"/>
    </w:p>
    <w:tbl>
      <w:tblPr>
        <w:tblW w:w="1033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847"/>
        <w:gridCol w:w="1496"/>
        <w:gridCol w:w="1497"/>
        <w:gridCol w:w="1497"/>
        <w:gridCol w:w="1497"/>
        <w:gridCol w:w="1497"/>
      </w:tblGrid>
      <w:tr>
        <w:trPr>
          <w:trHeight w:val="276" w:hRule="atLeast"/>
        </w:trPr>
        <w:tc>
          <w:tcPr>
            <w:tcW w:w="2847"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vAlign w:val="bottom"/>
          </w:tcPr>
          <w:p>
            <w:pPr>
              <w:pStyle w:val="Normal"/>
              <w:widowControl w:val="false"/>
              <w:spacing w:lineRule="auto" w:line="240" w:before="0" w:after="0"/>
              <w:jc w:val="center"/>
              <w:rPr>
                <w:rFonts w:eastAsia="Times New Roman" w:cs="Calibri" w:cstheme="minorHAnsi"/>
                <w:b/>
                <w:b/>
                <w:bCs/>
                <w:sz w:val="20"/>
                <w:szCs w:val="20"/>
                <w:lang w:val="en-US"/>
              </w:rPr>
            </w:pPr>
            <w:r>
              <w:rPr>
                <w:rFonts w:eastAsia="Times New Roman" w:cs="Calibri" w:cstheme="minorHAnsi"/>
                <w:b/>
                <w:bCs/>
                <w:sz w:val="20"/>
                <w:szCs w:val="20"/>
                <w:lang w:val="en-US"/>
              </w:rPr>
              <w:t>Wyszczególnienie</w:t>
            </w:r>
          </w:p>
        </w:tc>
        <w:tc>
          <w:tcPr>
            <w:tcW w:w="1496"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sz w:val="20"/>
                <w:szCs w:val="20"/>
                <w:lang w:val="en-US"/>
              </w:rPr>
            </w:pPr>
            <w:r>
              <w:rPr>
                <w:rFonts w:eastAsia="Times New Roman" w:cs="Calibri" w:cstheme="minorHAnsi"/>
                <w:b/>
                <w:bCs/>
                <w:sz w:val="20"/>
                <w:szCs w:val="20"/>
                <w:lang w:val="en-US"/>
              </w:rPr>
              <w:t>2017</w:t>
            </w:r>
          </w:p>
        </w:tc>
        <w:tc>
          <w:tcPr>
            <w:tcW w:w="1497"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sz w:val="20"/>
                <w:szCs w:val="20"/>
                <w:lang w:val="en-US"/>
              </w:rPr>
            </w:pPr>
            <w:r>
              <w:rPr>
                <w:rFonts w:eastAsia="Times New Roman" w:cs="Calibri" w:cstheme="minorHAnsi"/>
                <w:b/>
                <w:bCs/>
                <w:sz w:val="20"/>
                <w:szCs w:val="20"/>
                <w:lang w:val="en-US"/>
              </w:rPr>
              <w:t>2018</w:t>
            </w:r>
          </w:p>
        </w:tc>
        <w:tc>
          <w:tcPr>
            <w:tcW w:w="1497"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sz w:val="20"/>
                <w:szCs w:val="20"/>
                <w:lang w:val="en-US"/>
              </w:rPr>
            </w:pPr>
            <w:r>
              <w:rPr>
                <w:rFonts w:eastAsia="Times New Roman" w:cs="Calibri" w:cstheme="minorHAnsi"/>
                <w:b/>
                <w:bCs/>
                <w:sz w:val="20"/>
                <w:szCs w:val="20"/>
                <w:lang w:val="en-US"/>
              </w:rPr>
              <w:t>2019</w:t>
            </w:r>
          </w:p>
        </w:tc>
        <w:tc>
          <w:tcPr>
            <w:tcW w:w="1497"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sz w:val="20"/>
                <w:szCs w:val="20"/>
                <w:lang w:val="en-US"/>
              </w:rPr>
            </w:pPr>
            <w:r>
              <w:rPr>
                <w:rFonts w:eastAsia="Times New Roman" w:cs="Calibri" w:cstheme="minorHAnsi"/>
                <w:b/>
                <w:bCs/>
                <w:sz w:val="20"/>
                <w:szCs w:val="20"/>
                <w:lang w:val="en-US"/>
              </w:rPr>
              <w:t>2020</w:t>
            </w:r>
          </w:p>
        </w:tc>
        <w:tc>
          <w:tcPr>
            <w:tcW w:w="1497" w:type="dxa"/>
            <w:tcBorders>
              <w:top w:val="single" w:sz="4" w:space="0" w:color="000000"/>
              <w:bottom w:val="single" w:sz="4" w:space="0" w:color="000000"/>
              <w:right w:val="single" w:sz="4" w:space="0" w:color="000000"/>
            </w:tcBorders>
            <w:shd w:color="auto" w:fill="FFF2CC" w:themeFill="accent4" w:themeFillTint="33" w:val="clear"/>
            <w:vAlign w:val="center"/>
          </w:tcPr>
          <w:p>
            <w:pPr>
              <w:pStyle w:val="Normal"/>
              <w:widowControl w:val="false"/>
              <w:spacing w:lineRule="auto" w:line="240" w:before="0" w:after="0"/>
              <w:jc w:val="center"/>
              <w:rPr>
                <w:rFonts w:eastAsia="Times New Roman" w:cs="Calibri" w:cstheme="minorHAnsi"/>
                <w:b/>
                <w:b/>
                <w:bCs/>
                <w:sz w:val="20"/>
                <w:szCs w:val="20"/>
                <w:lang w:val="en-US"/>
              </w:rPr>
            </w:pPr>
            <w:r>
              <w:rPr>
                <w:rFonts w:eastAsia="Times New Roman" w:cs="Calibri" w:cstheme="minorHAnsi"/>
                <w:b/>
                <w:bCs/>
                <w:sz w:val="20"/>
                <w:szCs w:val="20"/>
                <w:lang w:val="en-US"/>
              </w:rPr>
              <w:t>2021</w:t>
            </w:r>
          </w:p>
        </w:tc>
      </w:tr>
      <w:tr>
        <w:trPr>
          <w:trHeight w:val="288" w:hRule="atLeast"/>
        </w:trPr>
        <w:tc>
          <w:tcPr>
            <w:tcW w:w="284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Dochody ogółem</w:t>
            </w:r>
          </w:p>
        </w:tc>
        <w:tc>
          <w:tcPr>
            <w:tcW w:w="149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32,646,320.57</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35,846,624.44</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40,960,167.47</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44,765,804.20</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50,858,436.05</w:t>
            </w:r>
          </w:p>
        </w:tc>
      </w:tr>
      <w:tr>
        <w:trPr>
          <w:trHeight w:val="288" w:hRule="atLeast"/>
        </w:trPr>
        <w:tc>
          <w:tcPr>
            <w:tcW w:w="284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Dochody własne</w:t>
            </w:r>
          </w:p>
        </w:tc>
        <w:tc>
          <w:tcPr>
            <w:tcW w:w="1496"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8,000,839.24</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8,839,550.37</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9,718,641.58</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13,409,518.87</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11,229,848.13</w:t>
            </w:r>
          </w:p>
        </w:tc>
      </w:tr>
      <w:tr>
        <w:trPr>
          <w:trHeight w:val="288" w:hRule="atLeast"/>
        </w:trPr>
        <w:tc>
          <w:tcPr>
            <w:tcW w:w="284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Dochody majątkowe</w:t>
            </w:r>
          </w:p>
        </w:tc>
        <w:tc>
          <w:tcPr>
            <w:tcW w:w="149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357,714.37</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2,010,917.28</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3,646,034.66</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5,045,385.31</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7,938,817.20</w:t>
            </w:r>
          </w:p>
        </w:tc>
      </w:tr>
      <w:tr>
        <w:trPr>
          <w:trHeight w:val="288" w:hRule="atLeast"/>
        </w:trPr>
        <w:tc>
          <w:tcPr>
            <w:tcW w:w="284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Dotacje</w:t>
            </w:r>
          </w:p>
        </w:tc>
        <w:tc>
          <w:tcPr>
            <w:tcW w:w="1496"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12,679,079.33</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14,000,786.07</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17,180,720.89</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16,662,781.33</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sz w:val="20"/>
                <w:szCs w:val="20"/>
                <w:lang w:val="en-US"/>
              </w:rPr>
            </w:pPr>
            <w:r>
              <w:rPr>
                <w:rFonts w:eastAsia="Times New Roman" w:cs="Calibri" w:cstheme="minorHAnsi"/>
                <w:sz w:val="20"/>
                <w:szCs w:val="20"/>
                <w:lang w:val="en-US"/>
              </w:rPr>
              <w:t>17,584,646.92</w:t>
            </w:r>
          </w:p>
        </w:tc>
      </w:tr>
      <w:tr>
        <w:trPr>
          <w:trHeight w:val="288" w:hRule="atLeast"/>
        </w:trPr>
        <w:tc>
          <w:tcPr>
            <w:tcW w:w="284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Wydatki ogółem</w:t>
            </w:r>
          </w:p>
        </w:tc>
        <w:tc>
          <w:tcPr>
            <w:tcW w:w="149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31,325,482.33</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37,829,063.85</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41,026,278.71</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42,184,529.38</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47,108,339.29</w:t>
            </w:r>
          </w:p>
        </w:tc>
      </w:tr>
      <w:tr>
        <w:trPr>
          <w:trHeight w:val="288" w:hRule="atLeast"/>
        </w:trPr>
        <w:tc>
          <w:tcPr>
            <w:tcW w:w="284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Wydatki majątkowe</w:t>
            </w:r>
          </w:p>
        </w:tc>
        <w:tc>
          <w:tcPr>
            <w:tcW w:w="1496"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1,098,908.07</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5,916,719.62</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6,246,054.59</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5,319,195.64</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8,658,055.49</w:t>
            </w:r>
          </w:p>
        </w:tc>
      </w:tr>
      <w:tr>
        <w:trPr>
          <w:trHeight w:val="288" w:hRule="atLeast"/>
        </w:trPr>
        <w:tc>
          <w:tcPr>
            <w:tcW w:w="284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 udział wydatków majątkowych w wydatkach ogółem</w:t>
            </w:r>
          </w:p>
        </w:tc>
        <w:tc>
          <w:tcPr>
            <w:tcW w:w="149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3.5</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15.6</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15.2</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12.6</w:t>
            </w:r>
          </w:p>
        </w:tc>
        <w:tc>
          <w:tcPr>
            <w:tcW w:w="149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18.4</w:t>
            </w:r>
          </w:p>
        </w:tc>
      </w:tr>
      <w:tr>
        <w:trPr>
          <w:trHeight w:val="288" w:hRule="atLeast"/>
        </w:trPr>
        <w:tc>
          <w:tcPr>
            <w:tcW w:w="2847"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Wydatki bieżące</w:t>
            </w:r>
          </w:p>
        </w:tc>
        <w:tc>
          <w:tcPr>
            <w:tcW w:w="1496"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30,226,574.26</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31,912,344.23</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34,780,224.12</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36,865,333.74</w:t>
            </w:r>
          </w:p>
        </w:tc>
        <w:tc>
          <w:tcPr>
            <w:tcW w:w="1497" w:type="dxa"/>
            <w:tcBorders>
              <w:bottom w:val="single" w:sz="4" w:space="0" w:color="000000"/>
              <w:right w:val="single" w:sz="4" w:space="0" w:color="000000"/>
            </w:tcBorders>
            <w:shd w:color="auto" w:fill="E2EFD9" w:themeFill="accent6" w:themeFillTint="33" w:val="clear"/>
            <w:vAlign w:val="bottom"/>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38,450,283.80</w:t>
            </w:r>
          </w:p>
        </w:tc>
      </w:tr>
      <w:tr>
        <w:trPr>
          <w:trHeight w:val="288" w:hRule="atLeast"/>
        </w:trPr>
        <w:tc>
          <w:tcPr>
            <w:tcW w:w="284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rPr>
            </w:pPr>
            <w:r>
              <w:rPr>
                <w:rFonts w:eastAsia="Times New Roman" w:cs="Calibri" w:cstheme="minorHAnsi"/>
              </w:rPr>
              <w:t>% udział wydatków bieżących w wydatkach ogółem</w:t>
            </w:r>
          </w:p>
        </w:tc>
        <w:tc>
          <w:tcPr>
            <w:tcW w:w="149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96.49</w:t>
            </w:r>
          </w:p>
        </w:tc>
        <w:tc>
          <w:tcPr>
            <w:tcW w:w="149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84.36</w:t>
            </w:r>
          </w:p>
        </w:tc>
        <w:tc>
          <w:tcPr>
            <w:tcW w:w="149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84.78</w:t>
            </w:r>
          </w:p>
        </w:tc>
        <w:tc>
          <w:tcPr>
            <w:tcW w:w="149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87.39</w:t>
            </w:r>
          </w:p>
        </w:tc>
        <w:tc>
          <w:tcPr>
            <w:tcW w:w="149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eastAsia="Times New Roman" w:cs="Calibri" w:cstheme="minorHAnsi"/>
                <w:lang w:val="en-US"/>
              </w:rPr>
            </w:pPr>
            <w:r>
              <w:rPr>
                <w:rFonts w:eastAsia="Times New Roman" w:cs="Calibri" w:cstheme="minorHAnsi"/>
                <w:lang w:val="en-US"/>
              </w:rPr>
              <w:t>81.62</w:t>
            </w:r>
          </w:p>
        </w:tc>
      </w:tr>
    </w:tbl>
    <w:p>
      <w:pPr>
        <w:pStyle w:val="NoSpacing"/>
        <w:jc w:val="center"/>
        <w:rPr>
          <w:rFonts w:ascii="Calibri" w:hAnsi="Calibri" w:cs="Calibri" w:asciiTheme="minorHAnsi" w:cstheme="minorHAnsi" w:hAnsiTheme="minorHAnsi"/>
          <w:sz w:val="20"/>
          <w:szCs w:val="20"/>
          <w:lang w:eastAsia="pl-PL"/>
        </w:rPr>
      </w:pPr>
      <w:r>
        <w:rPr>
          <w:rFonts w:cs="Calibri" w:cstheme="minorHAnsi"/>
          <w:sz w:val="20"/>
          <w:szCs w:val="20"/>
          <w:lang w:eastAsia="pl-PL"/>
        </w:rPr>
        <w:t>Źródło: opracowanie własne na podstawie danych GUS</w:t>
      </w:r>
    </w:p>
    <w:p>
      <w:pPr>
        <w:pStyle w:val="NoSpacing"/>
        <w:jc w:val="center"/>
        <w:rPr>
          <w:rFonts w:ascii="Calibri" w:hAnsi="Calibri" w:cs="Calibri" w:asciiTheme="minorHAnsi" w:cstheme="minorHAnsi" w:hAnsiTheme="minorHAnsi"/>
          <w:lang w:eastAsia="pl-PL"/>
        </w:rPr>
      </w:pPr>
      <w:r>
        <w:rPr>
          <w:rFonts w:cs="Calibri" w:cstheme="minorHAnsi"/>
          <w:lang w:eastAsia="pl-PL"/>
        </w:rPr>
      </w:r>
    </w:p>
    <w:p>
      <w:pPr>
        <w:pStyle w:val="NoSpacing"/>
        <w:jc w:val="both"/>
        <w:rPr>
          <w:rFonts w:ascii="Calibri" w:hAnsi="Calibri" w:cs="Calibri" w:asciiTheme="minorHAnsi" w:cstheme="minorHAnsi" w:hAnsiTheme="minorHAnsi"/>
        </w:rPr>
      </w:pPr>
      <w:r>
        <w:rPr>
          <w:rFonts w:cs="Calibri" w:cstheme="minorHAnsi"/>
        </w:rPr>
        <w:t xml:space="preserve">Realizacja budżetu na dzień 31 grudnia 2021 r. przedstawiała się następująco: </w:t>
      </w:r>
    </w:p>
    <w:p>
      <w:pPr>
        <w:pStyle w:val="NoSpacing"/>
        <w:numPr>
          <w:ilvl w:val="0"/>
          <w:numId w:val="66"/>
        </w:numPr>
        <w:jc w:val="both"/>
        <w:rPr>
          <w:rFonts w:ascii="Calibri" w:hAnsi="Calibri" w:cs="Calibri" w:asciiTheme="minorHAnsi" w:cstheme="minorHAnsi" w:hAnsiTheme="minorHAnsi"/>
        </w:rPr>
      </w:pPr>
      <w:r>
        <w:rPr>
          <w:rFonts w:cs="Calibri" w:cstheme="minorHAnsi"/>
        </w:rPr>
        <w:t xml:space="preserve">dochody plan (po zmianach) wynosiły 50 858 436,05 zł, </w:t>
      </w:r>
    </w:p>
    <w:p>
      <w:pPr>
        <w:pStyle w:val="NoSpacing"/>
        <w:numPr>
          <w:ilvl w:val="0"/>
          <w:numId w:val="66"/>
        </w:numPr>
        <w:jc w:val="both"/>
        <w:rPr>
          <w:rFonts w:ascii="Calibri" w:hAnsi="Calibri" w:cs="Calibri" w:asciiTheme="minorHAnsi" w:cstheme="minorHAnsi" w:hAnsiTheme="minorHAnsi"/>
        </w:rPr>
      </w:pPr>
      <w:r>
        <w:rPr>
          <w:rFonts w:cs="Calibri" w:cstheme="minorHAnsi"/>
        </w:rPr>
        <w:t xml:space="preserve">wykonanie 47 108 339,29zł. </w:t>
      </w:r>
    </w:p>
    <w:p>
      <w:pPr>
        <w:pStyle w:val="NoSpacing"/>
        <w:jc w:val="center"/>
        <w:rPr>
          <w:rFonts w:ascii="Calibri" w:hAnsi="Calibri" w:cs="Calibri" w:asciiTheme="minorHAnsi" w:cstheme="minorHAnsi" w:hAnsiTheme="minorHAnsi"/>
          <w:highlight w:val="yellow"/>
          <w:lang w:eastAsia="pl-PL"/>
        </w:rPr>
      </w:pPr>
      <w:r>
        <w:rPr>
          <w:rFonts w:cs="Calibri" w:cstheme="minorHAnsi"/>
          <w:highlight w:val="yellow"/>
          <w:lang w:eastAsia="pl-PL"/>
        </w:rPr>
      </w:r>
    </w:p>
    <w:p>
      <w:pPr>
        <w:pStyle w:val="Caption"/>
        <w:spacing w:lineRule="auto" w:line="240" w:before="0" w:after="0"/>
        <w:jc w:val="center"/>
        <w:rPr>
          <w:rFonts w:ascii="Calibri" w:hAnsi="Calibri" w:cs="Calibri" w:asciiTheme="minorHAnsi" w:cstheme="minorHAnsi" w:hAnsiTheme="minorHAnsi"/>
          <w:b w:val="false"/>
          <w:b w:val="false"/>
          <w:bCs w:val="false"/>
          <w:lang w:eastAsia="pl-PL"/>
        </w:rPr>
      </w:pPr>
      <w:bookmarkStart w:id="297" w:name="_Toc118887805"/>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56</w:t>
      </w:r>
      <w:r>
        <w:rPr>
          <w:b w:val="false"/>
          <w:bCs w:val="false"/>
          <w:rFonts w:cs="Calibri"/>
        </w:rPr>
        <w:fldChar w:fldCharType="end"/>
      </w:r>
      <w:r>
        <w:rPr>
          <w:rFonts w:cs="Calibri" w:cstheme="minorHAnsi"/>
          <w:b w:val="false"/>
          <w:bCs w:val="false"/>
        </w:rPr>
        <w:t xml:space="preserve"> Wykonanie budżetu Gminy Dwikozy w latach 2019-2021</w:t>
      </w:r>
      <w:bookmarkEnd w:id="297"/>
    </w:p>
    <w:tbl>
      <w:tblPr>
        <w:tblW w:w="879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31"/>
        <w:gridCol w:w="2843"/>
        <w:gridCol w:w="1830"/>
        <w:gridCol w:w="1729"/>
        <w:gridCol w:w="1766"/>
      </w:tblGrid>
      <w:tr>
        <w:trPr/>
        <w:tc>
          <w:tcPr>
            <w:tcW w:w="631"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Lp.</w:t>
            </w:r>
          </w:p>
        </w:tc>
        <w:tc>
          <w:tcPr>
            <w:tcW w:w="2843"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ind w:left="60" w:hanging="0"/>
              <w:contextualSpacing/>
              <w:jc w:val="center"/>
              <w:rPr>
                <w:rFonts w:cs="Calibri" w:cstheme="minorHAnsi"/>
                <w:b/>
                <w:b/>
                <w:bCs/>
              </w:rPr>
            </w:pPr>
            <w:r>
              <w:rPr>
                <w:rFonts w:cs="Calibri" w:cstheme="minorHAnsi"/>
                <w:b/>
                <w:bCs/>
              </w:rPr>
              <w:t>Kategoria danych</w:t>
            </w:r>
          </w:p>
        </w:tc>
        <w:tc>
          <w:tcPr>
            <w:tcW w:w="1830"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ind w:left="720" w:hanging="0"/>
              <w:contextualSpacing/>
              <w:jc w:val="center"/>
              <w:rPr>
                <w:rFonts w:cs="Calibri" w:cstheme="minorHAnsi"/>
                <w:b/>
                <w:b/>
                <w:bCs/>
              </w:rPr>
            </w:pPr>
            <w:r>
              <w:rPr>
                <w:rFonts w:cs="Calibri" w:cstheme="minorHAnsi"/>
                <w:b/>
                <w:bCs/>
              </w:rPr>
              <w:t>2019</w:t>
            </w:r>
          </w:p>
        </w:tc>
        <w:tc>
          <w:tcPr>
            <w:tcW w:w="1729"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ind w:left="720" w:hanging="0"/>
              <w:contextualSpacing/>
              <w:jc w:val="center"/>
              <w:rPr>
                <w:rFonts w:cs="Calibri" w:cstheme="minorHAnsi"/>
                <w:b/>
                <w:b/>
                <w:bCs/>
              </w:rPr>
            </w:pPr>
            <w:r>
              <w:rPr>
                <w:rFonts w:cs="Calibri" w:cstheme="minorHAnsi"/>
                <w:b/>
                <w:bCs/>
              </w:rPr>
              <w:t>2020</w:t>
            </w:r>
          </w:p>
        </w:tc>
        <w:tc>
          <w:tcPr>
            <w:tcW w:w="1766" w:type="dxa"/>
            <w:tcBorders>
              <w:top w:val="single" w:sz="4" w:space="0" w:color="000000"/>
              <w:left w:val="single" w:sz="4" w:space="0" w:color="000000"/>
              <w:bottom w:val="single" w:sz="4" w:space="0" w:color="000000"/>
              <w:right w:val="single" w:sz="4" w:space="0" w:color="000000"/>
            </w:tcBorders>
            <w:shd w:color="auto" w:fill="FFF2CC" w:themeFill="accent4" w:themeFillTint="33" w:val="clear"/>
          </w:tcPr>
          <w:p>
            <w:pPr>
              <w:pStyle w:val="Normal"/>
              <w:widowControl w:val="false"/>
              <w:spacing w:lineRule="auto" w:line="240" w:before="0" w:after="0"/>
              <w:ind w:left="213" w:hanging="0"/>
              <w:contextualSpacing/>
              <w:jc w:val="center"/>
              <w:rPr>
                <w:rFonts w:cs="Calibri" w:cstheme="minorHAnsi"/>
                <w:b/>
                <w:b/>
                <w:bCs/>
              </w:rPr>
            </w:pPr>
            <w:r>
              <w:rPr>
                <w:rFonts w:cs="Calibri" w:cstheme="minorHAnsi"/>
                <w:b/>
                <w:bCs/>
              </w:rPr>
              <w:t>2021</w:t>
            </w:r>
          </w:p>
        </w:tc>
      </w:tr>
      <w:tr>
        <w:trPr/>
        <w:tc>
          <w:tcPr>
            <w:tcW w:w="631"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1.</w:t>
            </w:r>
          </w:p>
        </w:tc>
        <w:tc>
          <w:tcPr>
            <w:tcW w:w="8168" w:type="dxa"/>
            <w:gridSpan w:val="4"/>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contextualSpacing/>
              <w:jc w:val="center"/>
              <w:rPr>
                <w:rFonts w:cs="Calibri" w:cstheme="minorHAnsi"/>
                <w:b/>
                <w:b/>
                <w:bCs/>
              </w:rPr>
            </w:pPr>
            <w:r>
              <w:rPr>
                <w:rFonts w:cs="Calibri" w:cstheme="minorHAnsi"/>
                <w:b/>
                <w:bCs/>
              </w:rPr>
              <w:t>Wykonanie dochodów</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Plan (po zmianach):</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41 648 066,13</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rPr>
            </w:pPr>
            <w:r>
              <w:rPr>
                <w:rFonts w:cs="Calibri" w:cstheme="minorHAnsi"/>
              </w:rPr>
              <w:t>42 115 656,46</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05" w:right="42" w:hanging="0"/>
              <w:contextualSpacing/>
              <w:jc w:val="center"/>
              <w:rPr>
                <w:rFonts w:cs="Calibri" w:cstheme="minorHAnsi"/>
                <w:b/>
                <w:b/>
                <w:bCs/>
              </w:rPr>
            </w:pPr>
            <w:r>
              <w:rPr>
                <w:rFonts w:cs="Calibri" w:cstheme="minorHAnsi"/>
                <w:b/>
                <w:bCs/>
              </w:rPr>
              <w:t>51 611 269,29</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Wykonanie:</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40 960 167,47</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rPr>
            </w:pPr>
            <w:r>
              <w:rPr>
                <w:rFonts w:cs="Calibri" w:cstheme="minorHAnsi"/>
              </w:rPr>
              <w:t>44 765 804,20</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09" w:hanging="0"/>
              <w:contextualSpacing/>
              <w:jc w:val="center"/>
              <w:rPr>
                <w:rFonts w:cs="Calibri" w:cstheme="minorHAnsi"/>
                <w:b/>
                <w:b/>
                <w:bCs/>
              </w:rPr>
            </w:pPr>
            <w:r>
              <w:rPr>
                <w:rFonts w:cs="Calibri" w:cstheme="minorHAnsi"/>
                <w:b/>
                <w:bCs/>
              </w:rPr>
              <w:t>50 858 436,05</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Procent wykonania:</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98,35 %</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rPr>
            </w:pPr>
            <w:r>
              <w:rPr>
                <w:rFonts w:cs="Calibri" w:cstheme="minorHAnsi"/>
              </w:rPr>
              <w:t>106,29%</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b/>
                <w:b/>
                <w:bCs/>
              </w:rPr>
            </w:pPr>
            <w:r>
              <w:rPr>
                <w:rFonts w:cs="Calibri" w:cstheme="minorHAnsi"/>
                <w:b/>
                <w:bCs/>
              </w:rPr>
              <w:t>98,54%</w:t>
            </w:r>
          </w:p>
        </w:tc>
      </w:tr>
      <w:tr>
        <w:trPr/>
        <w:tc>
          <w:tcPr>
            <w:tcW w:w="631"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2.</w:t>
            </w:r>
          </w:p>
        </w:tc>
        <w:tc>
          <w:tcPr>
            <w:tcW w:w="8168" w:type="dxa"/>
            <w:gridSpan w:val="4"/>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contextualSpacing/>
              <w:jc w:val="center"/>
              <w:rPr>
                <w:rFonts w:cs="Calibri" w:cstheme="minorHAnsi"/>
                <w:b/>
                <w:b/>
                <w:bCs/>
              </w:rPr>
            </w:pPr>
            <w:r>
              <w:rPr>
                <w:rFonts w:cs="Calibri" w:cstheme="minorHAnsi"/>
                <w:b/>
                <w:bCs/>
              </w:rPr>
              <w:t>Wykonanie wydatków</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Plan (po zmianach):</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42 807 273,94</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rPr>
            </w:pPr>
            <w:r>
              <w:rPr>
                <w:rFonts w:cs="Calibri" w:cstheme="minorHAnsi"/>
              </w:rPr>
              <w:t>46 026 753,03</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bCs/>
              </w:rPr>
            </w:pPr>
            <w:r>
              <w:rPr>
                <w:rFonts w:cs="Calibri" w:cstheme="minorHAnsi"/>
                <w:b/>
                <w:bCs/>
              </w:rPr>
              <w:t>61 049 024,68</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Wykonanie:</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41 026 278,71</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rPr>
            </w:pPr>
            <w:r>
              <w:rPr>
                <w:rFonts w:cs="Calibri" w:cstheme="minorHAnsi"/>
              </w:rPr>
              <w:t>42 184 529,38</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bCs/>
              </w:rPr>
            </w:pPr>
            <w:r>
              <w:rPr>
                <w:rFonts w:cs="Calibri" w:cstheme="minorHAnsi"/>
                <w:b/>
                <w:bCs/>
              </w:rPr>
              <w:t>47 108 339,29</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Procent wykonania:</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95,84 %</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rPr>
            </w:pPr>
            <w:r>
              <w:rPr>
                <w:rFonts w:cs="Calibri" w:cstheme="minorHAnsi"/>
              </w:rPr>
              <w:t>91,65%</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b/>
                <w:b/>
                <w:bCs/>
              </w:rPr>
            </w:pPr>
            <w:r>
              <w:rPr>
                <w:rFonts w:cs="Calibri" w:cstheme="minorHAnsi"/>
                <w:b/>
                <w:bCs/>
              </w:rPr>
              <w:t>77,16%</w:t>
            </w:r>
          </w:p>
        </w:tc>
      </w:tr>
      <w:tr>
        <w:trPr/>
        <w:tc>
          <w:tcPr>
            <w:tcW w:w="631"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3.</w:t>
            </w:r>
          </w:p>
        </w:tc>
        <w:tc>
          <w:tcPr>
            <w:tcW w:w="2843"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60" w:hanging="0"/>
              <w:contextualSpacing/>
              <w:jc w:val="center"/>
              <w:rPr>
                <w:rFonts w:cs="Calibri" w:cstheme="minorHAnsi"/>
              </w:rPr>
            </w:pPr>
            <w:r>
              <w:rPr>
                <w:rFonts w:cs="Calibri" w:cstheme="minorHAnsi"/>
                <w:b/>
                <w:bCs/>
              </w:rPr>
              <w:t>Deficyt /nadwyżka budżetu</w:t>
            </w:r>
          </w:p>
        </w:tc>
        <w:tc>
          <w:tcPr>
            <w:tcW w:w="1830"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vAlign w:val="center"/>
          </w:tcPr>
          <w:p>
            <w:pPr>
              <w:pStyle w:val="Normal"/>
              <w:widowControl w:val="false"/>
              <w:spacing w:lineRule="auto" w:line="240" w:before="0" w:after="0"/>
              <w:ind w:left="31" w:hanging="0"/>
              <w:contextualSpacing/>
              <w:jc w:val="center"/>
              <w:rPr>
                <w:rFonts w:cs="Calibri" w:cstheme="minorHAnsi"/>
              </w:rPr>
            </w:pPr>
            <w:r>
              <w:rPr>
                <w:rFonts w:cs="Calibri" w:cstheme="minorHAnsi"/>
              </w:rPr>
            </w:r>
          </w:p>
        </w:tc>
        <w:tc>
          <w:tcPr>
            <w:tcW w:w="1729"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vAlign w:val="center"/>
          </w:tcPr>
          <w:p>
            <w:pPr>
              <w:pStyle w:val="Normal"/>
              <w:widowControl w:val="false"/>
              <w:spacing w:lineRule="auto" w:line="240" w:before="0" w:after="0"/>
              <w:jc w:val="center"/>
              <w:rPr>
                <w:rFonts w:cs="Calibri" w:cstheme="minorHAnsi"/>
              </w:rPr>
            </w:pPr>
            <w:r>
              <w:rPr>
                <w:rFonts w:cs="Calibri" w:cstheme="minorHAnsi"/>
              </w:rPr>
            </w:r>
          </w:p>
        </w:tc>
        <w:tc>
          <w:tcPr>
            <w:tcW w:w="1766"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vAlign w:val="center"/>
          </w:tcPr>
          <w:p>
            <w:pPr>
              <w:pStyle w:val="Normal"/>
              <w:widowControl w:val="false"/>
              <w:spacing w:lineRule="auto" w:line="240" w:before="0" w:after="0"/>
              <w:jc w:val="center"/>
              <w:rPr>
                <w:rFonts w:cs="Calibri" w:cstheme="minorHAnsi"/>
                <w:b/>
                <w:b/>
                <w:bCs/>
              </w:rPr>
            </w:pPr>
            <w:r>
              <w:rPr>
                <w:rFonts w:cs="Calibri" w:cstheme="minorHAnsi"/>
                <w:b/>
                <w:bCs/>
              </w:rPr>
            </w:r>
          </w:p>
        </w:tc>
      </w:tr>
      <w:tr>
        <w:trPr>
          <w:trHeight w:val="477" w:hRule="atLeast"/>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rPr>
            </w:pPr>
            <w:r>
              <w:rPr>
                <w:rFonts w:cs="Calibri" w:cstheme="minorHAnsi"/>
              </w:rPr>
              <w:t>Relacja wykonanych dochodów i wydatków</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rPr>
            </w:pPr>
            <w:r>
              <w:rPr>
                <w:rFonts w:cs="Calibri" w:cstheme="minorHAnsi"/>
              </w:rPr>
              <w:t>- 66 111,24 (deficyt)</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rPr>
            </w:pPr>
            <w:r>
              <w:rPr>
                <w:rFonts w:cs="Calibri" w:cstheme="minorHAnsi"/>
              </w:rPr>
              <w:t>2 581 274,82</w:t>
            </w:r>
          </w:p>
          <w:p>
            <w:pPr>
              <w:pStyle w:val="Normal"/>
              <w:widowControl w:val="false"/>
              <w:spacing w:lineRule="auto" w:line="240" w:before="0" w:after="0"/>
              <w:contextualSpacing/>
              <w:jc w:val="center"/>
              <w:rPr>
                <w:rFonts w:cs="Calibri" w:cstheme="minorHAnsi"/>
              </w:rPr>
            </w:pPr>
            <w:r>
              <w:rPr>
                <w:rFonts w:cs="Calibri" w:cstheme="minorHAnsi"/>
              </w:rPr>
              <w:t>(nadwyżka)</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b/>
                <w:b/>
                <w:bCs/>
              </w:rPr>
            </w:pPr>
            <w:r>
              <w:rPr>
                <w:rFonts w:cs="Calibri" w:cstheme="minorHAnsi"/>
                <w:b/>
                <w:bCs/>
              </w:rPr>
              <w:t>3 750 096,76 (nadwyżka)</w:t>
            </w:r>
          </w:p>
        </w:tc>
      </w:tr>
      <w:tr>
        <w:trPr/>
        <w:tc>
          <w:tcPr>
            <w:tcW w:w="631"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4.</w:t>
            </w:r>
          </w:p>
        </w:tc>
        <w:tc>
          <w:tcPr>
            <w:tcW w:w="8168" w:type="dxa"/>
            <w:gridSpan w:val="4"/>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contextualSpacing/>
              <w:jc w:val="center"/>
              <w:rPr>
                <w:rFonts w:cs="Calibri" w:cstheme="minorHAnsi"/>
                <w:b/>
                <w:b/>
                <w:bCs/>
              </w:rPr>
            </w:pPr>
            <w:r>
              <w:rPr>
                <w:rFonts w:cs="Calibri" w:cstheme="minorHAnsi"/>
                <w:b/>
                <w:bCs/>
              </w:rPr>
              <w:t>Osiągnięte przychody</w:t>
            </w:r>
            <w:r>
              <w:rPr>
                <w:rFonts w:cs="Calibri" w:cstheme="minorHAnsi"/>
              </w:rPr>
              <w:t>, w tym:</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1) kredyty:</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950 000,00</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b/>
                <w:b/>
                <w:bCs/>
              </w:rPr>
            </w:pPr>
            <w:r>
              <w:rPr>
                <w:rFonts w:cs="Calibri" w:cstheme="minorHAnsi"/>
                <w:bCs/>
              </w:rPr>
              <w:t>3 700 00,00</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cs="Calibri" w:cstheme="minorHAnsi"/>
                <w:b/>
                <w:b/>
              </w:rPr>
            </w:pPr>
            <w:r>
              <w:rPr>
                <w:rFonts w:cs="Calibri" w:cstheme="minorHAnsi"/>
                <w:b/>
              </w:rPr>
              <w:t>3 950 000,00</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b/>
                <w:b/>
                <w:bCs/>
              </w:rPr>
            </w:pPr>
            <w:r>
              <w:rPr>
                <w:rFonts w:cs="Calibri" w:cstheme="minorHAnsi"/>
              </w:rPr>
              <w:t>2) wolne środki:</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929 207,81</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bCs/>
              </w:rPr>
            </w:pPr>
            <w:r>
              <w:rPr>
                <w:rFonts w:cs="Calibri" w:cstheme="minorHAnsi"/>
                <w:bCs/>
              </w:rPr>
              <w:t>613 096,57</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rPr>
            </w:pPr>
            <w:r>
              <w:rPr>
                <w:rFonts w:cs="Calibri" w:cstheme="minorHAnsi"/>
                <w:b/>
              </w:rPr>
              <w:t>5 492 371,39</w:t>
            </w:r>
          </w:p>
        </w:tc>
      </w:tr>
      <w:tr>
        <w:trPr/>
        <w:tc>
          <w:tcPr>
            <w:tcW w:w="631"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5.</w:t>
            </w:r>
          </w:p>
        </w:tc>
        <w:tc>
          <w:tcPr>
            <w:tcW w:w="8168" w:type="dxa"/>
            <w:gridSpan w:val="4"/>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contextualSpacing/>
              <w:jc w:val="center"/>
              <w:rPr>
                <w:rFonts w:cs="Calibri" w:cstheme="minorHAnsi"/>
                <w:b/>
                <w:b/>
              </w:rPr>
            </w:pPr>
            <w:r>
              <w:rPr>
                <w:rFonts w:cs="Calibri" w:cstheme="minorHAnsi"/>
                <w:b/>
                <w:bCs/>
              </w:rPr>
              <w:t>Rozchody</w:t>
            </w:r>
            <w:r>
              <w:rPr>
                <w:rFonts w:cs="Calibri" w:cstheme="minorHAnsi"/>
              </w:rPr>
              <w:t>:</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rPr>
            </w:pPr>
            <w:r>
              <w:rPr>
                <w:rFonts w:cs="Calibri" w:cstheme="minorHAnsi"/>
              </w:rPr>
              <w:t>ogółem</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1 200 000,00</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bCs/>
              </w:rPr>
            </w:pPr>
            <w:r>
              <w:rPr>
                <w:rFonts w:cs="Calibri" w:cstheme="minorHAnsi"/>
                <w:bCs/>
              </w:rPr>
              <w:t>1 402 000,00</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rPr>
            </w:pPr>
            <w:r>
              <w:rPr>
                <w:rFonts w:cs="Calibri" w:cstheme="minorHAnsi"/>
                <w:b/>
              </w:rPr>
              <w:t>1 581 636,53</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rPr>
            </w:pPr>
            <w:r>
              <w:rPr>
                <w:rFonts w:cs="Calibri" w:cstheme="minorHAnsi"/>
              </w:rPr>
              <w:t>1) spłata kredytów</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b/>
                <w:b/>
                <w:bCs/>
              </w:rPr>
            </w:pPr>
            <w:r>
              <w:rPr>
                <w:rFonts w:cs="Calibri" w:cstheme="minorHAnsi"/>
              </w:rPr>
              <w:t>1 200 000,00</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bCs/>
              </w:rPr>
            </w:pPr>
            <w:r>
              <w:rPr>
                <w:rFonts w:cs="Calibri" w:cstheme="minorHAnsi"/>
                <w:bCs/>
              </w:rPr>
              <w:t>1 402 000,00</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rPr>
            </w:pPr>
            <w:r>
              <w:rPr>
                <w:rFonts w:cs="Calibri" w:cstheme="minorHAnsi"/>
                <w:b/>
              </w:rPr>
              <w:t>1 354 616,00</w:t>
            </w:r>
          </w:p>
        </w:tc>
      </w:tr>
      <w:tr>
        <w:trPr/>
        <w:tc>
          <w:tcPr>
            <w:tcW w:w="6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r>
          </w:p>
        </w:tc>
        <w:tc>
          <w:tcPr>
            <w:tcW w:w="2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60" w:hanging="0"/>
              <w:contextualSpacing/>
              <w:jc w:val="center"/>
              <w:rPr>
                <w:rFonts w:cs="Calibri" w:cstheme="minorHAnsi"/>
              </w:rPr>
            </w:pPr>
            <w:r>
              <w:rPr>
                <w:rFonts w:cs="Calibri" w:cstheme="minorHAnsi"/>
              </w:rPr>
              <w:t>2) udzielone pożyczki</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31" w:hanging="0"/>
              <w:contextualSpacing/>
              <w:jc w:val="center"/>
              <w:rPr>
                <w:rFonts w:cs="Calibri" w:cstheme="minorHAnsi"/>
              </w:rPr>
            </w:pPr>
            <w:r>
              <w:rPr>
                <w:rFonts w:cs="Calibri" w:cstheme="minorHAnsi"/>
                <w:bCs/>
              </w:rPr>
              <w:t>0,00</w:t>
            </w:r>
          </w:p>
        </w:tc>
        <w:tc>
          <w:tcPr>
            <w:tcW w:w="1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Cs/>
              </w:rPr>
            </w:pPr>
            <w:r>
              <w:rPr>
                <w:rFonts w:cs="Calibri" w:cstheme="minorHAnsi"/>
                <w:bCs/>
              </w:rPr>
              <w:t>0,00</w:t>
            </w:r>
          </w:p>
        </w:tc>
        <w:tc>
          <w:tcPr>
            <w:tcW w:w="1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cs="Calibri" w:cstheme="minorHAnsi"/>
                <w:b/>
                <w:b/>
              </w:rPr>
            </w:pPr>
            <w:r>
              <w:rPr>
                <w:rFonts w:cs="Calibri" w:cstheme="minorHAnsi"/>
                <w:b/>
              </w:rPr>
              <w:t>227 020,53</w:t>
            </w:r>
          </w:p>
        </w:tc>
      </w:tr>
    </w:tbl>
    <w:p>
      <w:pPr>
        <w:pStyle w:val="NoSpacing"/>
        <w:jc w:val="center"/>
        <w:rPr>
          <w:rFonts w:ascii="Calibri" w:hAnsi="Calibri" w:cs="Calibri" w:asciiTheme="minorHAnsi" w:cstheme="minorHAnsi" w:hAnsiTheme="minorHAnsi"/>
          <w:sz w:val="20"/>
          <w:szCs w:val="20"/>
          <w:lang w:eastAsia="pl-PL"/>
        </w:rPr>
      </w:pPr>
      <w:r>
        <w:rPr>
          <w:rFonts w:cs="Calibri" w:cstheme="minorHAnsi"/>
          <w:sz w:val="20"/>
          <w:szCs w:val="20"/>
          <w:lang w:eastAsia="pl-PL"/>
        </w:rPr>
        <w:t>Źródło: Raport o stanie Gminy za rok 2021</w:t>
      </w:r>
    </w:p>
    <w:p>
      <w:pPr>
        <w:pStyle w:val="NoSpacing"/>
        <w:rPr>
          <w:rFonts w:ascii="Calibri" w:hAnsi="Calibri" w:cs="Calibri" w:asciiTheme="minorHAnsi" w:cstheme="minorHAnsi" w:hAnsiTheme="minorHAnsi"/>
          <w:lang w:eastAsia="pl-PL"/>
        </w:rPr>
      </w:pPr>
      <w:r>
        <w:rPr>
          <w:rFonts w:cs="Calibri" w:cstheme="minorHAnsi"/>
          <w:lang w:eastAsia="pl-PL"/>
        </w:rPr>
      </w:r>
    </w:p>
    <w:p>
      <w:pPr>
        <w:pStyle w:val="NoSpacing"/>
        <w:rPr>
          <w:rFonts w:ascii="Calibri" w:hAnsi="Calibri" w:cs="Calibri" w:asciiTheme="minorHAnsi" w:cstheme="minorHAnsi" w:hAnsiTheme="minorHAnsi"/>
          <w:highlight w:val="yellow"/>
          <w:lang w:eastAsia="pl-PL"/>
        </w:rPr>
      </w:pPr>
      <w:r>
        <w:rPr>
          <w:rFonts w:cs="Calibri" w:cstheme="minorHAnsi"/>
          <w:highlight w:val="yellow"/>
          <w:lang w:eastAsia="pl-PL"/>
        </w:rPr>
      </w:r>
    </w:p>
    <w:p>
      <w:pPr>
        <w:pStyle w:val="Normal"/>
        <w:spacing w:lineRule="auto" w:line="240" w:before="0" w:after="0"/>
        <w:rPr>
          <w:rFonts w:eastAsia="Times New Roman" w:cs="Calibri" w:cstheme="minorHAnsi"/>
          <w:lang w:eastAsia="pl-PL"/>
        </w:rPr>
      </w:pPr>
      <w:r>
        <w:rPr>
          <w:rFonts w:eastAsia="Times New Roman" w:cs="Calibri" w:cstheme="minorHAnsi"/>
          <w:lang w:eastAsia="pl-PL"/>
        </w:rPr>
        <w:t>Na dzień 31.12.2021r. :</w:t>
      </w:r>
    </w:p>
    <w:p>
      <w:pPr>
        <w:pStyle w:val="ListParagraph"/>
        <w:numPr>
          <w:ilvl w:val="0"/>
          <w:numId w:val="43"/>
        </w:numPr>
        <w:spacing w:lineRule="auto" w:line="240" w:before="0" w:after="0"/>
        <w:jc w:val="both"/>
        <w:rPr>
          <w:rFonts w:eastAsia="Times New Roman" w:cs="Calibri" w:cstheme="minorHAnsi"/>
          <w:lang w:eastAsia="pl-PL"/>
        </w:rPr>
      </w:pPr>
      <w:r>
        <w:rPr>
          <w:rFonts w:eastAsia="Times New Roman" w:cs="Calibri" w:cstheme="minorHAnsi"/>
          <w:lang w:eastAsia="pl-PL"/>
        </w:rPr>
        <w:t>zadłużenie samorządu wynosi 17 662 215,72 zł, co stanowi 34,6% dochodów budżetu,</w:t>
      </w:r>
    </w:p>
    <w:p>
      <w:pPr>
        <w:pStyle w:val="ListParagraph"/>
        <w:numPr>
          <w:ilvl w:val="0"/>
          <w:numId w:val="43"/>
        </w:numPr>
        <w:spacing w:lineRule="auto" w:line="240" w:before="0" w:after="0"/>
        <w:jc w:val="both"/>
        <w:rPr>
          <w:rFonts w:eastAsia="Times New Roman" w:cs="Calibri" w:cstheme="minorHAnsi"/>
          <w:lang w:eastAsia="pl-PL"/>
        </w:rPr>
      </w:pPr>
      <w:r>
        <w:rPr>
          <w:rFonts w:eastAsia="Times New Roman" w:cs="Calibri" w:cstheme="minorHAnsi"/>
          <w:lang w:eastAsia="pl-PL"/>
        </w:rPr>
        <w:t>wolne środki stanowi kwota 5 492 371,39zł.</w:t>
      </w:r>
    </w:p>
    <w:p>
      <w:pPr>
        <w:pStyle w:val="ListParagraph"/>
        <w:spacing w:lineRule="auto" w:line="240" w:before="0" w:after="0"/>
        <w:ind w:left="426" w:hanging="0"/>
        <w:jc w:val="both"/>
        <w:rPr>
          <w:rFonts w:ascii="Calibri" w:hAnsi="Calibri" w:eastAsia="Times New Roman" w:cs="Calibri" w:asciiTheme="minorHAnsi" w:cstheme="minorHAnsi" w:hAnsiTheme="minorHAnsi"/>
          <w:highlight w:val="yellow"/>
          <w:lang w:eastAsia="pl-PL"/>
        </w:rPr>
      </w:pPr>
      <w:r>
        <w:rPr>
          <w:rFonts w:eastAsia="Times New Roman" w:cs="Calibri" w:cstheme="minorHAnsi"/>
          <w:highlight w:val="yellow"/>
          <w:lang w:eastAsia="pl-PL"/>
        </w:rPr>
      </w:r>
    </w:p>
    <w:p>
      <w:pPr>
        <w:pStyle w:val="Caption"/>
        <w:spacing w:lineRule="auto" w:line="240" w:before="0" w:after="0"/>
        <w:jc w:val="center"/>
        <w:rPr>
          <w:rFonts w:ascii="Calibri" w:hAnsi="Calibri" w:eastAsia="Times New Roman" w:cs="Calibri" w:asciiTheme="minorHAnsi" w:cstheme="minorHAnsi" w:hAnsiTheme="minorHAnsi"/>
          <w:b w:val="false"/>
          <w:b w:val="false"/>
          <w:bCs w:val="false"/>
          <w:lang w:eastAsia="pl-PL"/>
        </w:rPr>
      </w:pPr>
      <w:bookmarkStart w:id="298" w:name="_Toc118887806"/>
      <w:r>
        <w:rPr>
          <w:rFonts w:cs="Calibri" w:cstheme="minorHAnsi"/>
          <w:b w:val="false"/>
          <w:bCs w:val="false"/>
        </w:rPr>
        <w:t xml:space="preserve">Tabela </w:t>
      </w:r>
      <w:r>
        <w:rPr>
          <w:rFonts w:cs="Calibri" w:cstheme="minorHAnsi"/>
          <w:b w:val="false"/>
          <w:bCs w:val="false"/>
        </w:rPr>
        <w:fldChar w:fldCharType="begin"/>
      </w:r>
      <w:r>
        <w:rPr>
          <w:b w:val="false"/>
          <w:bCs w:val="false"/>
          <w:rFonts w:cs="Calibri"/>
        </w:rPr>
        <w:instrText xml:space="preserve"> SEQ Tabela \* ARABIC </w:instrText>
      </w:r>
      <w:r>
        <w:rPr>
          <w:b w:val="false"/>
          <w:bCs w:val="false"/>
          <w:rFonts w:cs="Calibri"/>
        </w:rPr>
        <w:fldChar w:fldCharType="separate"/>
      </w:r>
      <w:r>
        <w:rPr>
          <w:b w:val="false"/>
          <w:bCs w:val="false"/>
          <w:rFonts w:cs="Calibri"/>
        </w:rPr>
        <w:t>57</w:t>
      </w:r>
      <w:r>
        <w:rPr>
          <w:b w:val="false"/>
          <w:bCs w:val="false"/>
          <w:rFonts w:cs="Calibri"/>
        </w:rPr>
        <w:fldChar w:fldCharType="end"/>
      </w:r>
      <w:r>
        <w:rPr>
          <w:rFonts w:cs="Calibri" w:cstheme="minorHAnsi"/>
          <w:b w:val="false"/>
          <w:bCs w:val="false"/>
        </w:rPr>
        <w:t xml:space="preserve"> Struktura dochodów i wydatków Gminy Dwikozy w latach 2019-2021</w:t>
      </w:r>
      <w:bookmarkEnd w:id="298"/>
    </w:p>
    <w:tbl>
      <w:tblP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33"/>
        <w:gridCol w:w="2622"/>
        <w:gridCol w:w="1843"/>
        <w:gridCol w:w="1701"/>
        <w:gridCol w:w="2263"/>
      </w:tblGrid>
      <w:tr>
        <w:trPr/>
        <w:tc>
          <w:tcPr>
            <w:tcW w:w="633"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Lp.</w:t>
            </w:r>
          </w:p>
        </w:tc>
        <w:tc>
          <w:tcPr>
            <w:tcW w:w="2622"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1" w:hanging="0"/>
              <w:contextualSpacing/>
              <w:jc w:val="center"/>
              <w:rPr>
                <w:rFonts w:cs="Calibri" w:cstheme="minorHAnsi"/>
                <w:b/>
                <w:b/>
                <w:bCs/>
              </w:rPr>
            </w:pPr>
            <w:r>
              <w:rPr>
                <w:rFonts w:cs="Calibri" w:cstheme="minorHAnsi"/>
                <w:b/>
                <w:bCs/>
              </w:rPr>
              <w:t>Kategoria danych</w:t>
            </w:r>
          </w:p>
        </w:tc>
        <w:tc>
          <w:tcPr>
            <w:tcW w:w="1843"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176" w:hanging="0"/>
              <w:contextualSpacing/>
              <w:jc w:val="center"/>
              <w:rPr>
                <w:rFonts w:cs="Calibri" w:cstheme="minorHAnsi"/>
                <w:b/>
                <w:b/>
                <w:bCs/>
              </w:rPr>
            </w:pPr>
            <w:r>
              <w:rPr>
                <w:rFonts w:cs="Calibri" w:cstheme="minorHAnsi"/>
                <w:b/>
                <w:bCs/>
              </w:rPr>
              <w:t>2019</w:t>
            </w:r>
          </w:p>
        </w:tc>
        <w:tc>
          <w:tcPr>
            <w:tcW w:w="1701"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8" w:hanging="0"/>
              <w:contextualSpacing/>
              <w:jc w:val="center"/>
              <w:rPr>
                <w:rFonts w:cs="Calibri" w:cstheme="minorHAnsi"/>
                <w:b/>
                <w:b/>
                <w:bCs/>
              </w:rPr>
            </w:pPr>
            <w:r>
              <w:rPr>
                <w:rFonts w:cs="Calibri" w:cstheme="minorHAnsi"/>
                <w:b/>
                <w:bCs/>
              </w:rPr>
              <w:t>2020</w:t>
            </w:r>
          </w:p>
        </w:tc>
        <w:tc>
          <w:tcPr>
            <w:tcW w:w="2263" w:type="dxa"/>
            <w:tcBorders>
              <w:top w:val="single" w:sz="4" w:space="0" w:color="000000"/>
              <w:left w:val="single" w:sz="4" w:space="0" w:color="000000"/>
              <w:bottom w:val="single" w:sz="4" w:space="0" w:color="000000"/>
              <w:right w:val="single" w:sz="4" w:space="0" w:color="000000"/>
            </w:tcBorders>
            <w:shd w:color="auto" w:fill="D9E2F3" w:themeFill="accent1" w:themeFillTint="33" w:val="clear"/>
          </w:tcPr>
          <w:p>
            <w:pPr>
              <w:pStyle w:val="Normal"/>
              <w:widowControl w:val="false"/>
              <w:spacing w:lineRule="auto" w:line="240" w:before="0" w:after="0"/>
              <w:ind w:left="38" w:hanging="0"/>
              <w:contextualSpacing/>
              <w:jc w:val="center"/>
              <w:rPr>
                <w:rFonts w:cs="Calibri" w:cstheme="minorHAnsi"/>
                <w:b/>
                <w:b/>
                <w:bCs/>
              </w:rPr>
            </w:pPr>
            <w:r>
              <w:rPr>
                <w:rFonts w:cs="Calibri" w:cstheme="minorHAnsi"/>
                <w:b/>
                <w:bCs/>
              </w:rPr>
              <w:t>2021</w:t>
            </w:r>
          </w:p>
        </w:tc>
      </w:tr>
      <w:tr>
        <w:trPr/>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1.</w:t>
            </w:r>
          </w:p>
        </w:tc>
        <w:tc>
          <w:tcPr>
            <w:tcW w:w="26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40" w:hanging="0"/>
              <w:contextualSpacing/>
              <w:jc w:val="center"/>
              <w:rPr>
                <w:rFonts w:cs="Calibri" w:cstheme="minorHAnsi"/>
                <w:b/>
                <w:b/>
                <w:bCs/>
              </w:rPr>
            </w:pPr>
            <w:r>
              <w:rPr>
                <w:rFonts w:cs="Calibri" w:cstheme="minorHAnsi"/>
              </w:rPr>
              <w:t>Udział dochodów własnych w dochodach ogółem</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6" w:hanging="0"/>
              <w:contextualSpacing/>
              <w:jc w:val="center"/>
              <w:rPr>
                <w:rFonts w:cs="Calibri" w:cstheme="minorHAnsi"/>
              </w:rPr>
            </w:pPr>
            <w:r>
              <w:rPr>
                <w:rFonts w:cs="Calibri" w:cstheme="minorHAnsi"/>
              </w:rPr>
              <w:t>23,70 %</w:t>
            </w:r>
          </w:p>
          <w:p>
            <w:pPr>
              <w:pStyle w:val="Normal"/>
              <w:widowControl w:val="false"/>
              <w:spacing w:lineRule="auto" w:line="240" w:before="0" w:after="0"/>
              <w:ind w:left="176" w:hanging="0"/>
              <w:contextualSpacing/>
              <w:jc w:val="center"/>
              <w:rPr>
                <w:rFonts w:cs="Calibri" w:cstheme="minorHAnsi"/>
                <w:b/>
                <w:b/>
                <w:bCs/>
              </w:rPr>
            </w:pPr>
            <w:r>
              <w:rPr>
                <w:rFonts w:cs="Calibri" w:cstheme="minorHAnsi"/>
                <w:b/>
                <w:bCs/>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8" w:hanging="0"/>
              <w:contextualSpacing/>
              <w:jc w:val="center"/>
              <w:rPr>
                <w:rFonts w:cs="Calibri" w:cstheme="minorHAnsi"/>
              </w:rPr>
            </w:pPr>
            <w:r>
              <w:rPr>
                <w:rFonts w:cs="Calibri" w:cstheme="minorHAnsi"/>
              </w:rPr>
              <w:t>21,05%</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8" w:hanging="0"/>
              <w:contextualSpacing/>
              <w:jc w:val="center"/>
              <w:rPr>
                <w:rFonts w:cs="Calibri" w:cstheme="minorHAnsi"/>
                <w:b/>
                <w:b/>
                <w:bCs/>
              </w:rPr>
            </w:pPr>
            <w:r>
              <w:rPr>
                <w:rFonts w:cs="Calibri" w:cstheme="minorHAnsi"/>
                <w:b/>
                <w:bCs/>
              </w:rPr>
              <w:t>19,85%</w:t>
            </w:r>
          </w:p>
        </w:tc>
      </w:tr>
      <w:tr>
        <w:trPr/>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2.</w:t>
            </w:r>
          </w:p>
        </w:tc>
        <w:tc>
          <w:tcPr>
            <w:tcW w:w="26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40" w:hanging="0"/>
              <w:contextualSpacing/>
              <w:jc w:val="center"/>
              <w:rPr>
                <w:rFonts w:cs="Calibri" w:cstheme="minorHAnsi"/>
                <w:b/>
                <w:b/>
                <w:bCs/>
              </w:rPr>
            </w:pPr>
            <w:r>
              <w:rPr>
                <w:rFonts w:cs="Calibri" w:cstheme="minorHAnsi"/>
              </w:rPr>
              <w:t>Udział subwencji ogólnej w dochodach ogółem:</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6" w:hanging="0"/>
              <w:contextualSpacing/>
              <w:jc w:val="center"/>
              <w:rPr>
                <w:rFonts w:cs="Calibri" w:cstheme="minorHAnsi"/>
                <w:b/>
                <w:b/>
                <w:bCs/>
              </w:rPr>
            </w:pPr>
            <w:r>
              <w:rPr>
                <w:rFonts w:cs="Calibri" w:cstheme="minorHAnsi"/>
              </w:rPr>
              <w:t>34%</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rPr>
            </w:pPr>
            <w:r>
              <w:rPr>
                <w:rFonts w:cs="Calibri" w:cstheme="minorHAnsi"/>
              </w:rPr>
              <w:t>32,82%</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b/>
                <w:b/>
                <w:bCs/>
              </w:rPr>
            </w:pPr>
            <w:r>
              <w:rPr>
                <w:rFonts w:cs="Calibri" w:cstheme="minorHAnsi"/>
                <w:b/>
                <w:bCs/>
              </w:rPr>
              <w:t>33,29%</w:t>
            </w:r>
          </w:p>
        </w:tc>
      </w:tr>
      <w:tr>
        <w:trPr/>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rPr>
            </w:pPr>
            <w:r>
              <w:rPr>
                <w:rFonts w:cs="Calibri" w:cstheme="minorHAnsi"/>
              </w:rPr>
            </w:r>
          </w:p>
        </w:tc>
        <w:tc>
          <w:tcPr>
            <w:tcW w:w="26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40" w:hanging="0"/>
              <w:contextualSpacing/>
              <w:jc w:val="center"/>
              <w:rPr>
                <w:rFonts w:cs="Calibri" w:cstheme="minorHAnsi"/>
              </w:rPr>
            </w:pPr>
            <w:r>
              <w:rPr>
                <w:rFonts w:cs="Calibri" w:cstheme="minorHAnsi"/>
              </w:rPr>
              <w:t>- w tym udział subwencji oświatowej</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6" w:hanging="0"/>
              <w:contextualSpacing/>
              <w:jc w:val="center"/>
              <w:rPr>
                <w:rFonts w:cs="Calibri" w:cstheme="minorHAnsi"/>
                <w:b/>
                <w:b/>
                <w:bCs/>
              </w:rPr>
            </w:pPr>
            <w:r>
              <w:rPr>
                <w:rFonts w:cs="Calibri" w:cstheme="minorHAnsi"/>
              </w:rPr>
              <w:t>20%</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rPr>
            </w:pPr>
            <w:r>
              <w:rPr>
                <w:rFonts w:cs="Calibri" w:cstheme="minorHAnsi"/>
              </w:rPr>
              <w:t>18,77%</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b/>
                <w:b/>
                <w:bCs/>
              </w:rPr>
            </w:pPr>
            <w:r>
              <w:rPr>
                <w:rFonts w:cs="Calibri" w:cstheme="minorHAnsi"/>
                <w:b/>
                <w:bCs/>
              </w:rPr>
              <w:t>17,78%</w:t>
            </w:r>
          </w:p>
        </w:tc>
      </w:tr>
      <w:tr>
        <w:trPr>
          <w:trHeight w:val="60" w:hRule="atLeast"/>
        </w:trPr>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3.</w:t>
            </w:r>
          </w:p>
        </w:tc>
        <w:tc>
          <w:tcPr>
            <w:tcW w:w="26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40" w:hanging="0"/>
              <w:contextualSpacing/>
              <w:jc w:val="center"/>
              <w:rPr>
                <w:rFonts w:cs="Calibri" w:cstheme="minorHAnsi"/>
                <w:b/>
                <w:b/>
                <w:bCs/>
              </w:rPr>
            </w:pPr>
            <w:r>
              <w:rPr>
                <w:rFonts w:cs="Calibri" w:cstheme="minorHAnsi"/>
              </w:rPr>
              <w:t>Udział wydatków majątkowych w wydatkach ogółem</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76" w:hanging="0"/>
              <w:contextualSpacing/>
              <w:jc w:val="center"/>
              <w:rPr>
                <w:rFonts w:cs="Calibri" w:cstheme="minorHAnsi"/>
                <w:b/>
                <w:b/>
                <w:bCs/>
              </w:rPr>
            </w:pPr>
            <w:r>
              <w:rPr>
                <w:rFonts w:cs="Calibri" w:cstheme="minorHAnsi"/>
              </w:rPr>
              <w:t>15,22%</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rPr>
            </w:pPr>
            <w:r>
              <w:rPr>
                <w:rFonts w:cs="Calibri" w:cstheme="minorHAnsi"/>
              </w:rPr>
              <w:t>12,61%</w:t>
            </w:r>
          </w:p>
          <w:p>
            <w:pPr>
              <w:pStyle w:val="Normal"/>
              <w:widowControl w:val="false"/>
              <w:spacing w:lineRule="auto" w:line="240" w:before="0" w:after="0"/>
              <w:ind w:left="720" w:hanging="0"/>
              <w:contextualSpacing/>
              <w:jc w:val="center"/>
              <w:rPr>
                <w:rFonts w:cs="Calibri" w:cstheme="minorHAnsi"/>
              </w:rPr>
            </w:pPr>
            <w:r>
              <w:rPr>
                <w:rFonts w:cs="Calibri" w:cstheme="minorHAnsi"/>
              </w:rPr>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b/>
                <w:b/>
                <w:bCs/>
              </w:rPr>
            </w:pPr>
            <w:r>
              <w:rPr>
                <w:rFonts w:cs="Calibri" w:cstheme="minorHAnsi"/>
                <w:b/>
                <w:bCs/>
              </w:rPr>
              <w:t>18,38%</w:t>
            </w:r>
          </w:p>
        </w:tc>
      </w:tr>
      <w:tr>
        <w:trPr/>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2" w:hanging="0"/>
              <w:contextualSpacing/>
              <w:jc w:val="center"/>
              <w:rPr>
                <w:rFonts w:cs="Calibri" w:cstheme="minorHAnsi"/>
                <w:b/>
                <w:b/>
                <w:bCs/>
              </w:rPr>
            </w:pPr>
            <w:r>
              <w:rPr>
                <w:rFonts w:cs="Calibri" w:cstheme="minorHAnsi"/>
                <w:b/>
                <w:bCs/>
              </w:rPr>
              <w:t>4.</w:t>
            </w:r>
          </w:p>
        </w:tc>
        <w:tc>
          <w:tcPr>
            <w:tcW w:w="26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40" w:hanging="0"/>
              <w:contextualSpacing/>
              <w:jc w:val="center"/>
              <w:rPr>
                <w:rFonts w:cs="Calibri" w:cstheme="minorHAnsi"/>
              </w:rPr>
            </w:pPr>
            <w:r>
              <w:rPr>
                <w:rFonts w:cs="Calibri" w:cstheme="minorHAnsi"/>
              </w:rPr>
              <w:t>Poziom zadłużenia na koniec roku</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92" w:hanging="0"/>
              <w:contextualSpacing/>
              <w:jc w:val="center"/>
              <w:rPr>
                <w:rFonts w:cs="Calibri" w:cstheme="minorHAnsi"/>
              </w:rPr>
            </w:pPr>
            <w:r>
              <w:rPr>
                <w:rFonts w:cs="Calibri" w:cstheme="minorHAnsi"/>
              </w:rPr>
              <w:t>12 768 831,72</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92" w:hanging="0"/>
              <w:jc w:val="center"/>
              <w:rPr>
                <w:rFonts w:cs="Calibri" w:cstheme="minorHAnsi"/>
              </w:rPr>
            </w:pPr>
            <w:r>
              <w:rPr>
                <w:rFonts w:cs="Calibri" w:cstheme="minorHAnsi"/>
              </w:rPr>
              <w:t>15 066 831,72</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cs="Calibri" w:cstheme="minorHAnsi"/>
                <w:b/>
                <w:b/>
                <w:bCs/>
              </w:rPr>
            </w:pPr>
            <w:r>
              <w:rPr>
                <w:rFonts w:cs="Calibri" w:cstheme="minorHAnsi"/>
                <w:b/>
                <w:bCs/>
              </w:rPr>
              <w:t>17 662 215,72 zł</w:t>
            </w:r>
          </w:p>
        </w:tc>
      </w:tr>
    </w:tbl>
    <w:p>
      <w:pPr>
        <w:pStyle w:val="NoSpacing"/>
        <w:jc w:val="center"/>
        <w:rPr>
          <w:rFonts w:ascii="Calibri" w:hAnsi="Calibri" w:cs="Calibri" w:asciiTheme="minorHAnsi" w:cstheme="minorHAnsi" w:hAnsiTheme="minorHAnsi"/>
          <w:sz w:val="20"/>
          <w:szCs w:val="20"/>
          <w:lang w:eastAsia="pl-PL"/>
        </w:rPr>
      </w:pPr>
      <w:bookmarkStart w:id="299" w:name="_Toc10012774"/>
      <w:r>
        <w:rPr>
          <w:rFonts w:cs="Calibri" w:cstheme="minorHAnsi"/>
          <w:sz w:val="20"/>
          <w:szCs w:val="20"/>
          <w:lang w:eastAsia="pl-PL"/>
        </w:rPr>
        <w:t>Źródło: Raport o stanie Gminy za rok 2021</w:t>
      </w:r>
    </w:p>
    <w:p>
      <w:pPr>
        <w:pStyle w:val="NoSpacing"/>
        <w:jc w:val="center"/>
        <w:rPr>
          <w:rFonts w:ascii="Calibri" w:hAnsi="Calibri" w:cs="Calibri" w:asciiTheme="minorHAnsi" w:cstheme="minorHAnsi" w:hAnsiTheme="minorHAnsi"/>
          <w:i/>
          <w:i/>
          <w:iCs/>
          <w:highlight w:val="yellow"/>
          <w:lang w:eastAsia="pl-PL"/>
        </w:rPr>
      </w:pPr>
      <w:r>
        <w:rPr>
          <w:rFonts w:cs="Calibri" w:cstheme="minorHAnsi"/>
          <w:i/>
          <w:iCs/>
          <w:highlight w:val="yellow"/>
          <w:lang w:eastAsia="pl-PL"/>
        </w:rPr>
      </w:r>
    </w:p>
    <w:p>
      <w:pPr>
        <w:pStyle w:val="Normal"/>
        <w:spacing w:lineRule="auto" w:line="240" w:before="0" w:after="0"/>
        <w:jc w:val="both"/>
        <w:rPr>
          <w:rFonts w:cs="Calibri" w:cstheme="minorHAnsi"/>
          <w:color w:val="000000" w:themeColor="text1"/>
          <w:lang w:eastAsia="pl-PL"/>
        </w:rPr>
      </w:pPr>
      <w:bookmarkStart w:id="300" w:name="_Toc10012774"/>
      <w:r>
        <w:rPr>
          <w:rFonts w:cs="Calibri" w:cstheme="minorHAnsi"/>
          <w:lang w:eastAsia="pl-PL"/>
        </w:rPr>
        <w:t xml:space="preserve">W 2021 r. w dalszym ciągu obniżał się poziom dochodów własnych, co z jednej strony wynika </w:t>
        <w:br/>
        <w:t xml:space="preserve">z obniżenia dochodów podatkowych, a z drugiej z dodatkowych środków zewnętrznych pozyskanych przez samorząd. Środki pozyskane na inwestycje spowodowały znaczny wzrost wydatków majątkowych, co jest pozytywnym, prorozwojowym krokiem, a także pozwoliły na utrzymanie </w:t>
        <w:br/>
        <w:t>„w ryzach” poziomu zadłużenia.</w:t>
      </w:r>
      <w:bookmarkEnd w:id="300"/>
    </w:p>
    <w:p>
      <w:pPr>
        <w:pStyle w:val="NoSpacing"/>
        <w:rPr>
          <w:rFonts w:ascii="Calibri" w:hAnsi="Calibri" w:cs="Calibri" w:asciiTheme="minorHAnsi" w:cstheme="minorHAnsi" w:hAnsiTheme="minorHAnsi"/>
          <w:color w:val="000000" w:themeColor="text1"/>
          <w:lang w:eastAsia="pl-PL"/>
        </w:rPr>
      </w:pPr>
      <w:r>
        <w:rPr>
          <w:rFonts w:cs="Calibri" w:cstheme="minorHAnsi"/>
          <w:color w:val="000000" w:themeColor="text1"/>
          <w:lang w:eastAsia="pl-PL"/>
        </w:rPr>
      </w:r>
    </w:p>
    <w:p>
      <w:pPr>
        <w:pStyle w:val="Normal"/>
        <w:spacing w:lineRule="auto" w:line="240" w:before="0" w:after="0"/>
        <w:jc w:val="both"/>
        <w:rPr>
          <w:rFonts w:eastAsia="Times New Roman" w:cs="Calibri" w:cstheme="minorHAnsi"/>
          <w:b/>
          <w:b/>
          <w:bCs/>
        </w:rPr>
      </w:pPr>
      <w:r>
        <w:rPr>
          <w:rFonts w:eastAsia="Times New Roman" w:cs="Calibri" w:cstheme="minorHAnsi"/>
          <w:b/>
          <w:bCs/>
        </w:rPr>
      </w:r>
      <w:r>
        <w:br w:type="page"/>
      </w:r>
    </w:p>
    <w:p>
      <w:pPr>
        <w:pStyle w:val="Nagwek2"/>
        <w:spacing w:lineRule="auto" w:line="240" w:before="0" w:after="0"/>
        <w:jc w:val="both"/>
        <w:rPr>
          <w:rFonts w:ascii="Calibri" w:hAnsi="Calibri" w:cs="Calibri" w:asciiTheme="minorHAnsi" w:cstheme="minorHAnsi" w:hAnsiTheme="minorHAnsi"/>
          <w:i w:val="false"/>
          <w:i w:val="false"/>
          <w:iCs w:val="false"/>
        </w:rPr>
      </w:pPr>
      <w:bookmarkStart w:id="301" w:name="_Toc118887476"/>
      <w:r>
        <w:rPr>
          <w:rFonts w:cs="Calibri" w:ascii="Calibri" w:hAnsi="Calibri" w:asciiTheme="minorHAnsi" w:cstheme="minorHAnsi" w:hAnsiTheme="minorHAnsi"/>
          <w:i w:val="false"/>
          <w:iCs w:val="false"/>
        </w:rPr>
        <w:t>Spis tabel</w:t>
      </w:r>
      <w:bookmarkEnd w:id="301"/>
    </w:p>
    <w:p>
      <w:pPr>
        <w:pStyle w:val="Tableoffigures"/>
        <w:tabs>
          <w:tab w:val="clear" w:pos="720"/>
          <w:tab w:val="right" w:pos="9016" w:leader="dot"/>
        </w:tabs>
        <w:spacing w:lineRule="auto" w:line="240"/>
        <w:rPr>
          <w:rFonts w:eastAsia="" w:eastAsiaTheme="minorEastAsia"/>
          <w:sz w:val="20"/>
          <w:szCs w:val="20"/>
          <w:lang w:eastAsia="pl-PL"/>
        </w:rPr>
      </w:pPr>
      <w:r>
        <w:fldChar w:fldCharType="begin"/>
      </w:r>
      <w:r>
        <w:rPr>
          <w:rStyle w:val="Czeindeksu"/>
          <w:sz w:val="20"/>
          <w:szCs w:val="20"/>
          <w:rFonts w:cs="Calibri"/>
        </w:rPr>
        <w:instrText xml:space="preserve"> TOC \c "Tabela" </w:instrText>
      </w:r>
      <w:r>
        <w:rPr>
          <w:rStyle w:val="Czeindeksu"/>
          <w:sz w:val="20"/>
          <w:szCs w:val="20"/>
          <w:rFonts w:cs="Calibri"/>
        </w:rPr>
        <w:fldChar w:fldCharType="separate"/>
      </w:r>
      <w:hyperlink w:anchor="_Toc118887750">
        <w:r>
          <w:rPr>
            <w:rStyle w:val="Czeindeksu"/>
            <w:rFonts w:cs="Calibri" w:cstheme="minorHAnsi"/>
            <w:sz w:val="20"/>
            <w:szCs w:val="20"/>
          </w:rPr>
          <w:t>Tabela 1 Wykaz zabytków znajdujących się na terenie gminy Dwikozy wpisanych do rejestru zabytków nieruchomych</w:t>
        </w:r>
        <w:r>
          <w:rPr>
            <w:webHidden/>
          </w:rPr>
          <w:fldChar w:fldCharType="begin"/>
        </w:r>
        <w:r>
          <w:rPr>
            <w:webHidden/>
          </w:rPr>
          <w:instrText xml:space="preserve">PAGEREF _Toc118887750 \h</w:instrText>
        </w:r>
        <w:r>
          <w:rPr>
            <w:webHidden/>
          </w:rPr>
          <w:fldChar w:fldCharType="separate"/>
        </w:r>
        <w:r>
          <w:rPr>
            <w:rStyle w:val="Czeindeksu"/>
            <w:vanish w:val="false"/>
            <w:sz w:val="20"/>
            <w:szCs w:val="20"/>
          </w:rPr>
          <w:tab/>
          <w:t>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1">
        <w:r>
          <w:rPr>
            <w:rStyle w:val="Czeindeksu"/>
            <w:rFonts w:cs="Calibri" w:cstheme="minorHAnsi"/>
            <w:sz w:val="20"/>
            <w:szCs w:val="20"/>
          </w:rPr>
          <w:t>Tabela 2 Wykaz pomników przyrody w Gminie Dwikozy</w:t>
        </w:r>
        <w:r>
          <w:rPr>
            <w:webHidden/>
          </w:rPr>
          <w:fldChar w:fldCharType="begin"/>
        </w:r>
        <w:r>
          <w:rPr>
            <w:webHidden/>
          </w:rPr>
          <w:instrText xml:space="preserve">PAGEREF _Toc118887751 \h</w:instrText>
        </w:r>
        <w:r>
          <w:rPr>
            <w:webHidden/>
          </w:rPr>
          <w:fldChar w:fldCharType="separate"/>
        </w:r>
        <w:r>
          <w:rPr>
            <w:rStyle w:val="Czeindeksu"/>
            <w:vanish w:val="false"/>
            <w:sz w:val="20"/>
            <w:szCs w:val="20"/>
          </w:rPr>
          <w:tab/>
          <w:t>8</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2">
        <w:r>
          <w:rPr>
            <w:rStyle w:val="Czeindeksu"/>
            <w:rFonts w:cs="Calibri" w:cstheme="minorHAnsi"/>
            <w:sz w:val="20"/>
            <w:szCs w:val="20"/>
          </w:rPr>
          <w:t>Tabela 3 Kryteria klasyfikacji stref ze względu na ochronę zdrowia ludzi w zakresie: SO2 , NO2 ,CO, C6H6, PM10, PM2,5, Pb, As, Cd, Ni, BaP, O</w:t>
        </w:r>
        <w:r>
          <w:rPr>
            <w:rStyle w:val="Czeindeksu"/>
            <w:rFonts w:cs="Calibri" w:cstheme="minorHAnsi"/>
            <w:sz w:val="20"/>
            <w:szCs w:val="20"/>
            <w:vertAlign w:val="subscript"/>
          </w:rPr>
          <w:t>3</w:t>
        </w:r>
        <w:r>
          <w:rPr>
            <w:webHidden/>
          </w:rPr>
          <w:fldChar w:fldCharType="begin"/>
        </w:r>
        <w:r>
          <w:rPr>
            <w:webHidden/>
          </w:rPr>
          <w:instrText xml:space="preserve">PAGEREF _Toc118887752 \h</w:instrText>
        </w:r>
        <w:r>
          <w:rPr>
            <w:webHidden/>
          </w:rPr>
          <w:fldChar w:fldCharType="separate"/>
        </w:r>
        <w:r>
          <w:rPr>
            <w:rStyle w:val="Czeindeksu"/>
            <w:vanish w:val="false"/>
            <w:sz w:val="20"/>
            <w:szCs w:val="20"/>
          </w:rPr>
          <w:tab/>
          <w:t>11</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3">
        <w:r>
          <w:rPr>
            <w:rStyle w:val="Czeindeksu"/>
            <w:rFonts w:cs="Calibri" w:cstheme="minorHAnsi"/>
            <w:sz w:val="20"/>
            <w:szCs w:val="20"/>
          </w:rPr>
          <w:t xml:space="preserve">Tabela 4 </w:t>
        </w:r>
        <w:r>
          <w:rPr>
            <w:rStyle w:val="Czeindeksu"/>
            <w:rFonts w:eastAsia="Arimo" w:cs="Calibri" w:cstheme="minorHAnsi"/>
            <w:sz w:val="20"/>
            <w:szCs w:val="20"/>
          </w:rPr>
          <w:t>Kryteria klasyfikacji stref ze względu na ochronę roślin w zakresie dwutlenku siarki SO2, tlenków azotu NOx i ozonu O3</w:t>
        </w:r>
        <w:r>
          <w:rPr>
            <w:webHidden/>
          </w:rPr>
          <w:fldChar w:fldCharType="begin"/>
        </w:r>
        <w:r>
          <w:rPr>
            <w:webHidden/>
          </w:rPr>
          <w:instrText xml:space="preserve">PAGEREF _Toc118887753 \h</w:instrText>
        </w:r>
        <w:r>
          <w:rPr>
            <w:webHidden/>
          </w:rPr>
          <w:fldChar w:fldCharType="separate"/>
        </w:r>
        <w:r>
          <w:rPr>
            <w:rStyle w:val="Czeindeksu"/>
            <w:vanish w:val="false"/>
            <w:sz w:val="20"/>
            <w:szCs w:val="20"/>
          </w:rPr>
          <w:tab/>
          <w:t>12</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4">
        <w:r>
          <w:rPr>
            <w:rStyle w:val="Czeindeksu"/>
            <w:rFonts w:cs="Calibri" w:cstheme="minorHAnsi"/>
            <w:sz w:val="20"/>
            <w:szCs w:val="20"/>
          </w:rPr>
          <w:t xml:space="preserve">Tabela 5 </w:t>
        </w:r>
        <w:r>
          <w:rPr>
            <w:rStyle w:val="Czeindeksu"/>
            <w:rFonts w:cs="Times New Roman"/>
            <w:sz w:val="20"/>
            <w:szCs w:val="20"/>
            <w:lang w:eastAsia="ar-SA"/>
          </w:rPr>
          <w:t>Zestawienie stref w województwie świętokrzyskim w ocenie dokonywanej pod kątem spełnienia kryteriów określonych w celu ochrony zdrowia ludzi</w:t>
        </w:r>
        <w:r>
          <w:rPr>
            <w:webHidden/>
          </w:rPr>
          <w:fldChar w:fldCharType="begin"/>
        </w:r>
        <w:r>
          <w:rPr>
            <w:webHidden/>
          </w:rPr>
          <w:instrText xml:space="preserve">PAGEREF _Toc118887754 \h</w:instrText>
        </w:r>
        <w:r>
          <w:rPr>
            <w:webHidden/>
          </w:rPr>
          <w:fldChar w:fldCharType="separate"/>
        </w:r>
        <w:r>
          <w:rPr>
            <w:rStyle w:val="Czeindeksu"/>
            <w:vanish w:val="false"/>
            <w:sz w:val="20"/>
            <w:szCs w:val="20"/>
          </w:rPr>
          <w:tab/>
          <w:t>13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5">
        <w:r>
          <w:rPr>
            <w:rStyle w:val="Czeindeksu"/>
            <w:rFonts w:cs="Calibri" w:cstheme="minorHAnsi"/>
            <w:sz w:val="20"/>
            <w:szCs w:val="20"/>
          </w:rPr>
          <w:t xml:space="preserve">Tabela 6 </w:t>
        </w:r>
        <w:r>
          <w:rPr>
            <w:rStyle w:val="Czeindeksu"/>
            <w:rFonts w:eastAsia="Arimo" w:cs="Calibri" w:cstheme="minorHAnsi"/>
            <w:sz w:val="20"/>
            <w:szCs w:val="20"/>
          </w:rPr>
          <w:t>Klasy stref dla poszczególnych zanieczyszczeń, uzyskane w ocenie rocznej dokonanej  z uwzględnieniem kryteriów ustanowionych w celu ochrony zdrowia ludzi - klasyfikacja podstawowa (klasy: A, C oraz A1, C1 dla pyłu PM2,5)</w:t>
        </w:r>
        <w:r>
          <w:rPr>
            <w:webHidden/>
          </w:rPr>
          <w:fldChar w:fldCharType="begin"/>
        </w:r>
        <w:r>
          <w:rPr>
            <w:webHidden/>
          </w:rPr>
          <w:instrText xml:space="preserve">PAGEREF _Toc118887755 \h</w:instrText>
        </w:r>
        <w:r>
          <w:rPr>
            <w:webHidden/>
          </w:rPr>
          <w:fldChar w:fldCharType="separate"/>
        </w:r>
        <w:r>
          <w:rPr>
            <w:rStyle w:val="Czeindeksu"/>
            <w:vanish w:val="false"/>
            <w:sz w:val="20"/>
            <w:szCs w:val="20"/>
          </w:rPr>
          <w:tab/>
          <w:t>14</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6">
        <w:r>
          <w:rPr>
            <w:rStyle w:val="Czeindeksu"/>
            <w:rFonts w:cs="Calibri" w:cstheme="minorHAnsi"/>
            <w:sz w:val="20"/>
            <w:szCs w:val="20"/>
          </w:rPr>
          <w:t>Tabela 7 Klasy stref dla poszczególnych zanieczyszczeń, uzyskane w ocenie rocznej dokonanej  z uwzględnieniem kryteriów ustanowionych w celu ochrony roślin - klasyfikacja podstawowa (klasy: A, C)</w:t>
        </w:r>
        <w:r>
          <w:rPr>
            <w:webHidden/>
          </w:rPr>
          <w:fldChar w:fldCharType="begin"/>
        </w:r>
        <w:r>
          <w:rPr>
            <w:webHidden/>
          </w:rPr>
          <w:instrText xml:space="preserve">PAGEREF _Toc118887756 \h</w:instrText>
        </w:r>
        <w:r>
          <w:rPr>
            <w:webHidden/>
          </w:rPr>
          <w:fldChar w:fldCharType="separate"/>
        </w:r>
        <w:r>
          <w:rPr>
            <w:rStyle w:val="Czeindeksu"/>
            <w:vanish w:val="false"/>
            <w:sz w:val="20"/>
            <w:szCs w:val="20"/>
          </w:rPr>
          <w:tab/>
          <w:t>14</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7">
        <w:r>
          <w:rPr>
            <w:rStyle w:val="Czeindeksu"/>
            <w:rFonts w:cs="Calibri" w:cstheme="minorHAnsi"/>
            <w:sz w:val="20"/>
            <w:szCs w:val="20"/>
          </w:rPr>
          <w:t>Tabela 8 Zestawienie informacji dotyczących obszarów przekroczeń dla poszczególnych zanieczyszczeń  w roku 2020 w województwie świętokrzyskim z uwzględnieniem kryterium określonego w celu ochrony zdrowia</w:t>
        </w:r>
        <w:r>
          <w:rPr>
            <w:webHidden/>
          </w:rPr>
          <w:fldChar w:fldCharType="begin"/>
        </w:r>
        <w:r>
          <w:rPr>
            <w:webHidden/>
          </w:rPr>
          <w:instrText xml:space="preserve">PAGEREF _Toc118887757 \h</w:instrText>
        </w:r>
        <w:r>
          <w:rPr>
            <w:webHidden/>
          </w:rPr>
          <w:fldChar w:fldCharType="separate"/>
        </w:r>
        <w:r>
          <w:rPr>
            <w:rStyle w:val="Czeindeksu"/>
            <w:vanish w:val="false"/>
            <w:sz w:val="20"/>
            <w:szCs w:val="20"/>
          </w:rPr>
          <w:tab/>
          <w:t>15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8">
        <w:r>
          <w:rPr>
            <w:rStyle w:val="Czeindeksu"/>
            <w:rFonts w:cs="Calibri" w:cstheme="minorHAnsi"/>
            <w:sz w:val="20"/>
            <w:szCs w:val="20"/>
          </w:rPr>
          <w:t>Tabela 9 Zestawienie informacji dotyczących obszarów przekroczeń dla poszczególnych zanieczyszczeń  w roku 2020 w województwie świętokrzyskim z uwzględnieniem kryterium określonego w celu ochrony roślin</w:t>
        </w:r>
        <w:r>
          <w:rPr>
            <w:webHidden/>
          </w:rPr>
          <w:fldChar w:fldCharType="begin"/>
        </w:r>
        <w:r>
          <w:rPr>
            <w:webHidden/>
          </w:rPr>
          <w:instrText xml:space="preserve">PAGEREF _Toc118887758 \h</w:instrText>
        </w:r>
        <w:r>
          <w:rPr>
            <w:webHidden/>
          </w:rPr>
          <w:fldChar w:fldCharType="separate"/>
        </w:r>
        <w:r>
          <w:rPr>
            <w:rStyle w:val="Czeindeksu"/>
            <w:vanish w:val="false"/>
            <w:sz w:val="20"/>
            <w:szCs w:val="20"/>
          </w:rPr>
          <w:tab/>
          <w:t>15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59">
        <w:r>
          <w:rPr>
            <w:rStyle w:val="Czeindeksu"/>
            <w:rFonts w:cs="Calibri" w:cstheme="minorHAnsi"/>
            <w:sz w:val="20"/>
            <w:szCs w:val="20"/>
          </w:rPr>
          <w:t>Tabela 10 Wykaz Jednolitych Części Wód Powierzchniowych znajdujących się na terenie gminy Dwikozy</w:t>
        </w:r>
        <w:r>
          <w:rPr>
            <w:webHidden/>
          </w:rPr>
          <w:fldChar w:fldCharType="begin"/>
        </w:r>
        <w:r>
          <w:rPr>
            <w:webHidden/>
          </w:rPr>
          <w:instrText xml:space="preserve">PAGEREF _Toc118887759 \h</w:instrText>
        </w:r>
        <w:r>
          <w:rPr>
            <w:webHidden/>
          </w:rPr>
          <w:fldChar w:fldCharType="separate"/>
        </w:r>
        <w:r>
          <w:rPr>
            <w:rStyle w:val="Czeindeksu"/>
            <w:vanish w:val="false"/>
            <w:sz w:val="20"/>
            <w:szCs w:val="20"/>
          </w:rPr>
          <w:tab/>
          <w:t>19</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0">
        <w:r>
          <w:rPr>
            <w:rStyle w:val="Czeindeksu"/>
            <w:rFonts w:cs="Calibri" w:cstheme="minorHAnsi"/>
            <w:sz w:val="20"/>
            <w:szCs w:val="20"/>
          </w:rPr>
          <w:t>Tabela 11 Wykaz Jednolitych Części Wód Podziemnych znajdujących się na terenie gminy Dwikozy</w:t>
        </w:r>
        <w:r>
          <w:rPr>
            <w:webHidden/>
          </w:rPr>
          <w:fldChar w:fldCharType="begin"/>
        </w:r>
        <w:r>
          <w:rPr>
            <w:webHidden/>
          </w:rPr>
          <w:instrText xml:space="preserve">PAGEREF _Toc118887760 \h</w:instrText>
        </w:r>
        <w:r>
          <w:rPr>
            <w:webHidden/>
          </w:rPr>
          <w:fldChar w:fldCharType="separate"/>
        </w:r>
        <w:r>
          <w:rPr>
            <w:rStyle w:val="Czeindeksu"/>
            <w:vanish w:val="false"/>
            <w:sz w:val="20"/>
            <w:szCs w:val="20"/>
          </w:rPr>
          <w:tab/>
          <w:t>21</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1">
        <w:r>
          <w:rPr>
            <w:rStyle w:val="Czeindeksu"/>
            <w:sz w:val="20"/>
            <w:szCs w:val="20"/>
          </w:rPr>
          <w:t>Tabela 12 Powierzchnia poszczególnych sołectw</w:t>
        </w:r>
        <w:r>
          <w:rPr>
            <w:webHidden/>
          </w:rPr>
          <w:fldChar w:fldCharType="begin"/>
        </w:r>
        <w:r>
          <w:rPr>
            <w:webHidden/>
          </w:rPr>
          <w:instrText xml:space="preserve">PAGEREF _Toc118887761 \h</w:instrText>
        </w:r>
        <w:r>
          <w:rPr>
            <w:webHidden/>
          </w:rPr>
          <w:fldChar w:fldCharType="separate"/>
        </w:r>
        <w:r>
          <w:rPr>
            <w:rStyle w:val="Czeindeksu"/>
            <w:vanish w:val="false"/>
            <w:sz w:val="20"/>
            <w:szCs w:val="20"/>
          </w:rPr>
          <w:tab/>
          <w:t>31</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2">
        <w:r>
          <w:rPr>
            <w:rStyle w:val="Czeindeksu"/>
            <w:rFonts w:cs="Calibri" w:cstheme="minorHAnsi"/>
            <w:sz w:val="20"/>
            <w:szCs w:val="20"/>
          </w:rPr>
          <w:t xml:space="preserve">Tabela 13 </w:t>
        </w:r>
        <w:r>
          <w:rPr>
            <w:rStyle w:val="Czeindeksu"/>
            <w:rFonts w:eastAsia="Times New Roman" w:cs="Calibri" w:cstheme="minorHAnsi"/>
            <w:sz w:val="20"/>
            <w:szCs w:val="20"/>
            <w:lang w:eastAsia="pl-PL"/>
          </w:rPr>
          <w:t>Wskaźniki zwodociągowania w Gminie Dwikozy</w:t>
        </w:r>
        <w:r>
          <w:rPr>
            <w:webHidden/>
          </w:rPr>
          <w:fldChar w:fldCharType="begin"/>
        </w:r>
        <w:r>
          <w:rPr>
            <w:webHidden/>
          </w:rPr>
          <w:instrText xml:space="preserve">PAGEREF _Toc118887762 \h</w:instrText>
        </w:r>
        <w:r>
          <w:rPr>
            <w:webHidden/>
          </w:rPr>
          <w:fldChar w:fldCharType="separate"/>
        </w:r>
        <w:r>
          <w:rPr>
            <w:rStyle w:val="Czeindeksu"/>
            <w:vanish w:val="false"/>
            <w:sz w:val="20"/>
            <w:szCs w:val="20"/>
          </w:rPr>
          <w:tab/>
          <w:t>34</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3">
        <w:r>
          <w:rPr>
            <w:rStyle w:val="Czeindeksu"/>
            <w:rFonts w:cs="Calibri" w:cstheme="minorHAnsi"/>
            <w:sz w:val="20"/>
            <w:szCs w:val="20"/>
          </w:rPr>
          <w:t>Tabela 14</w:t>
        </w:r>
        <w:r>
          <w:rPr>
            <w:rStyle w:val="Czeindeksu"/>
            <w:rFonts w:eastAsia="Times New Roman" w:cs="Calibri" w:cstheme="minorHAnsi"/>
            <w:sz w:val="20"/>
            <w:szCs w:val="20"/>
            <w:lang w:eastAsia="pl-PL"/>
          </w:rPr>
          <w:t>. Kanalizacja sanitarna na terenie Gminy Dwikozy</w:t>
        </w:r>
        <w:r>
          <w:rPr>
            <w:webHidden/>
          </w:rPr>
          <w:fldChar w:fldCharType="begin"/>
        </w:r>
        <w:r>
          <w:rPr>
            <w:webHidden/>
          </w:rPr>
          <w:instrText xml:space="preserve">PAGEREF _Toc118887763 \h</w:instrText>
        </w:r>
        <w:r>
          <w:rPr>
            <w:webHidden/>
          </w:rPr>
          <w:fldChar w:fldCharType="separate"/>
        </w:r>
        <w:r>
          <w:rPr>
            <w:rStyle w:val="Czeindeksu"/>
            <w:vanish w:val="false"/>
            <w:sz w:val="20"/>
            <w:szCs w:val="20"/>
          </w:rPr>
          <w:tab/>
          <w:t>35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4">
        <w:r>
          <w:rPr>
            <w:rStyle w:val="Czeindeksu"/>
            <w:rFonts w:cs="Calibri" w:cstheme="minorHAnsi"/>
            <w:sz w:val="20"/>
            <w:szCs w:val="20"/>
          </w:rPr>
          <w:t>Tabela 15 Dostęp poszczególnych sołectw Gminy Dwikozy do sieci wodociągowej i kanalizacyjnej wg stanu na 30.06.2022r.</w:t>
        </w:r>
        <w:r>
          <w:rPr>
            <w:webHidden/>
          </w:rPr>
          <w:fldChar w:fldCharType="begin"/>
        </w:r>
        <w:r>
          <w:rPr>
            <w:webHidden/>
          </w:rPr>
          <w:instrText xml:space="preserve">PAGEREF _Toc118887764 \h</w:instrText>
        </w:r>
        <w:r>
          <w:rPr>
            <w:webHidden/>
          </w:rPr>
          <w:fldChar w:fldCharType="separate"/>
        </w:r>
        <w:r>
          <w:rPr>
            <w:rStyle w:val="Czeindeksu"/>
            <w:vanish w:val="false"/>
            <w:sz w:val="20"/>
            <w:szCs w:val="20"/>
          </w:rPr>
          <w:tab/>
          <w:t>35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5">
        <w:r>
          <w:rPr>
            <w:rStyle w:val="Czeindeksu"/>
            <w:sz w:val="20"/>
            <w:szCs w:val="20"/>
          </w:rPr>
          <w:t xml:space="preserve">Tabela 16 </w:t>
        </w:r>
        <w:r>
          <w:rPr>
            <w:rStyle w:val="Czeindeksu"/>
            <w:rFonts w:cs="Calibri" w:cstheme="minorHAnsi"/>
            <w:sz w:val="20"/>
            <w:szCs w:val="20"/>
          </w:rPr>
          <w:t>Zmieszane odpady zebrane w ciągu roku na terenie Gminy Dwikozy w latach 2017-2021</w:t>
        </w:r>
        <w:r>
          <w:rPr>
            <w:webHidden/>
          </w:rPr>
          <w:fldChar w:fldCharType="begin"/>
        </w:r>
        <w:r>
          <w:rPr>
            <w:webHidden/>
          </w:rPr>
          <w:instrText xml:space="preserve">PAGEREF _Toc118887765 \h</w:instrText>
        </w:r>
        <w:r>
          <w:rPr>
            <w:webHidden/>
          </w:rPr>
          <w:fldChar w:fldCharType="separate"/>
        </w:r>
        <w:r>
          <w:rPr>
            <w:rStyle w:val="Czeindeksu"/>
            <w:vanish w:val="false"/>
            <w:sz w:val="20"/>
            <w:szCs w:val="20"/>
          </w:rPr>
          <w:tab/>
          <w:t>37</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6">
        <w:r>
          <w:rPr>
            <w:rStyle w:val="Czeindeksu"/>
            <w:rFonts w:cs="Calibri" w:cstheme="minorHAnsi"/>
            <w:sz w:val="20"/>
            <w:szCs w:val="20"/>
          </w:rPr>
          <w:t>Tabela 17 Odpady zebrane selektywnie w relacji do ogółu odpadów (%) zebrane na terenie Gminy Dwikozy  w latach 2017-2021</w:t>
        </w:r>
        <w:r>
          <w:rPr>
            <w:webHidden/>
          </w:rPr>
          <w:fldChar w:fldCharType="begin"/>
        </w:r>
        <w:r>
          <w:rPr>
            <w:webHidden/>
          </w:rPr>
          <w:instrText xml:space="preserve">PAGEREF _Toc118887766 \h</w:instrText>
        </w:r>
        <w:r>
          <w:rPr>
            <w:webHidden/>
          </w:rPr>
          <w:fldChar w:fldCharType="separate"/>
        </w:r>
        <w:r>
          <w:rPr>
            <w:rStyle w:val="Czeindeksu"/>
            <w:vanish w:val="false"/>
            <w:sz w:val="20"/>
            <w:szCs w:val="20"/>
          </w:rPr>
          <w:tab/>
          <w:t>37</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7">
        <w:r>
          <w:rPr>
            <w:rStyle w:val="Czeindeksu"/>
            <w:rFonts w:cs="Calibri" w:cstheme="minorHAnsi"/>
            <w:sz w:val="20"/>
            <w:szCs w:val="20"/>
          </w:rPr>
          <w:t>Tabela 18 Stan sieci gazowej na terenie Gminy Dwikozy w latach 2017- 2020</w:t>
        </w:r>
        <w:r>
          <w:rPr>
            <w:webHidden/>
          </w:rPr>
          <w:fldChar w:fldCharType="begin"/>
        </w:r>
        <w:r>
          <w:rPr>
            <w:webHidden/>
          </w:rPr>
          <w:instrText xml:space="preserve">PAGEREF _Toc118887767 \h</w:instrText>
        </w:r>
        <w:r>
          <w:rPr>
            <w:webHidden/>
          </w:rPr>
          <w:fldChar w:fldCharType="separate"/>
        </w:r>
        <w:r>
          <w:rPr>
            <w:rStyle w:val="Czeindeksu"/>
            <w:vanish w:val="false"/>
            <w:sz w:val="20"/>
            <w:szCs w:val="20"/>
          </w:rPr>
          <w:tab/>
          <w:t>38</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8">
        <w:r>
          <w:rPr>
            <w:rStyle w:val="Czeindeksu"/>
            <w:rFonts w:cs="Calibri" w:cstheme="minorHAnsi"/>
            <w:sz w:val="20"/>
            <w:szCs w:val="20"/>
          </w:rPr>
          <w:t>Tabela 19 Infrastruktura sportowa i rekreacyjna na terenie gminy Dwikozy</w:t>
        </w:r>
        <w:r>
          <w:rPr>
            <w:webHidden/>
          </w:rPr>
          <w:fldChar w:fldCharType="begin"/>
        </w:r>
        <w:r>
          <w:rPr>
            <w:webHidden/>
          </w:rPr>
          <w:instrText xml:space="preserve">PAGEREF _Toc118887768 \h</w:instrText>
        </w:r>
        <w:r>
          <w:rPr>
            <w:webHidden/>
          </w:rPr>
          <w:fldChar w:fldCharType="separate"/>
        </w:r>
        <w:r>
          <w:rPr>
            <w:rStyle w:val="Czeindeksu"/>
            <w:vanish w:val="false"/>
            <w:sz w:val="20"/>
            <w:szCs w:val="20"/>
          </w:rPr>
          <w:tab/>
          <w:t>40</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69">
        <w:r>
          <w:rPr>
            <w:rStyle w:val="Czeindeksu"/>
            <w:rFonts w:cs="Calibri" w:cstheme="minorHAnsi"/>
            <w:sz w:val="20"/>
            <w:szCs w:val="20"/>
          </w:rPr>
          <w:t>Tabela 20 Struktura ludności na terenie Gminy Dwikozy w latach 2015-2021</w:t>
        </w:r>
        <w:r>
          <w:rPr>
            <w:webHidden/>
          </w:rPr>
          <w:fldChar w:fldCharType="begin"/>
        </w:r>
        <w:r>
          <w:rPr>
            <w:webHidden/>
          </w:rPr>
          <w:instrText xml:space="preserve">PAGEREF _Toc118887769 \h</w:instrText>
        </w:r>
        <w:r>
          <w:rPr>
            <w:webHidden/>
          </w:rPr>
          <w:fldChar w:fldCharType="separate"/>
        </w:r>
        <w:r>
          <w:rPr>
            <w:rStyle w:val="Czeindeksu"/>
            <w:vanish w:val="false"/>
            <w:sz w:val="20"/>
            <w:szCs w:val="20"/>
          </w:rPr>
          <w:tab/>
          <w:t>42</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0">
        <w:r>
          <w:rPr>
            <w:rStyle w:val="Czeindeksu"/>
            <w:rFonts w:cs="Calibri" w:cstheme="minorHAnsi"/>
            <w:sz w:val="20"/>
            <w:szCs w:val="20"/>
          </w:rPr>
          <w:t>Tabela 21 Przyrost naturalny w gminie Dwikozy w latach 2016-2021</w:t>
        </w:r>
        <w:r>
          <w:rPr>
            <w:webHidden/>
          </w:rPr>
          <w:fldChar w:fldCharType="begin"/>
        </w:r>
        <w:r>
          <w:rPr>
            <w:webHidden/>
          </w:rPr>
          <w:instrText xml:space="preserve">PAGEREF _Toc118887770 \h</w:instrText>
        </w:r>
        <w:r>
          <w:rPr>
            <w:webHidden/>
          </w:rPr>
          <w:fldChar w:fldCharType="separate"/>
        </w:r>
        <w:r>
          <w:rPr>
            <w:rStyle w:val="Czeindeksu"/>
            <w:vanish w:val="false"/>
            <w:sz w:val="20"/>
            <w:szCs w:val="20"/>
          </w:rPr>
          <w:tab/>
          <w:t>43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1">
        <w:r>
          <w:rPr>
            <w:rStyle w:val="Czeindeksu"/>
            <w:rFonts w:cs="Calibri" w:cstheme="minorHAnsi"/>
            <w:sz w:val="20"/>
            <w:szCs w:val="20"/>
          </w:rPr>
          <w:t>Tabela 22 Struktura wiekowa mieszkańców Gminy Dwikozy w podziale na płeć w 2021r.</w:t>
        </w:r>
        <w:r>
          <w:rPr>
            <w:webHidden/>
          </w:rPr>
          <w:fldChar w:fldCharType="begin"/>
        </w:r>
        <w:r>
          <w:rPr>
            <w:webHidden/>
          </w:rPr>
          <w:instrText xml:space="preserve">PAGEREF _Toc118887771 \h</w:instrText>
        </w:r>
        <w:r>
          <w:rPr>
            <w:webHidden/>
          </w:rPr>
          <w:fldChar w:fldCharType="separate"/>
        </w:r>
        <w:r>
          <w:rPr>
            <w:rStyle w:val="Czeindeksu"/>
            <w:vanish w:val="false"/>
            <w:sz w:val="20"/>
            <w:szCs w:val="20"/>
          </w:rPr>
          <w:tab/>
          <w:t>44</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2">
        <w:r>
          <w:rPr>
            <w:rStyle w:val="Czeindeksu"/>
            <w:sz w:val="20"/>
            <w:szCs w:val="20"/>
          </w:rPr>
          <w:t>Tabela 23 Liczba mieszkańców poszczególnych sołectw na koniec 2020, 2010, 2020 i 2021r.</w:t>
        </w:r>
        <w:r>
          <w:rPr>
            <w:webHidden/>
          </w:rPr>
          <w:fldChar w:fldCharType="begin"/>
        </w:r>
        <w:r>
          <w:rPr>
            <w:webHidden/>
          </w:rPr>
          <w:instrText xml:space="preserve">PAGEREF _Toc118887772 \h</w:instrText>
        </w:r>
        <w:r>
          <w:rPr>
            <w:webHidden/>
          </w:rPr>
          <w:fldChar w:fldCharType="separate"/>
        </w:r>
        <w:r>
          <w:rPr>
            <w:rStyle w:val="Czeindeksu"/>
            <w:vanish w:val="false"/>
            <w:sz w:val="20"/>
            <w:szCs w:val="20"/>
          </w:rPr>
          <w:tab/>
          <w:t>45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3">
        <w:r>
          <w:rPr>
            <w:rStyle w:val="Czeindeksu"/>
            <w:rFonts w:eastAsia="Times New Roman" w:cs="Calibri" w:cstheme="minorHAnsi"/>
            <w:sz w:val="20"/>
            <w:szCs w:val="20"/>
            <w:lang w:eastAsia="pl-PL"/>
          </w:rPr>
          <w:t>Tabela 24 Prognoza demograficzna dla powiatu sandomierskiego i województwa świętokrzyskiego do roku 2050r.</w:t>
        </w:r>
        <w:r>
          <w:rPr>
            <w:webHidden/>
          </w:rPr>
          <w:fldChar w:fldCharType="begin"/>
        </w:r>
        <w:r>
          <w:rPr>
            <w:webHidden/>
          </w:rPr>
          <w:instrText xml:space="preserve">PAGEREF _Toc118887773 \h</w:instrText>
        </w:r>
        <w:r>
          <w:rPr>
            <w:webHidden/>
          </w:rPr>
          <w:fldChar w:fldCharType="separate"/>
        </w:r>
        <w:r>
          <w:rPr>
            <w:rStyle w:val="Czeindeksu"/>
            <w:vanish w:val="false"/>
            <w:sz w:val="20"/>
            <w:szCs w:val="20"/>
          </w:rPr>
          <w:tab/>
          <w:t>46</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4">
        <w:r>
          <w:rPr>
            <w:rStyle w:val="Czeindeksu"/>
            <w:rFonts w:cs="Calibri" w:cstheme="minorHAnsi"/>
            <w:sz w:val="20"/>
            <w:szCs w:val="20"/>
          </w:rPr>
          <w:t>Tabela 25 Prognoza ludności Gminy Dwikozy na lata 2025-2030</w:t>
        </w:r>
        <w:r>
          <w:rPr>
            <w:webHidden/>
          </w:rPr>
          <w:fldChar w:fldCharType="begin"/>
        </w:r>
        <w:r>
          <w:rPr>
            <w:webHidden/>
          </w:rPr>
          <w:instrText xml:space="preserve">PAGEREF _Toc118887774 \h</w:instrText>
        </w:r>
        <w:r>
          <w:rPr>
            <w:webHidden/>
          </w:rPr>
          <w:fldChar w:fldCharType="separate"/>
        </w:r>
        <w:r>
          <w:rPr>
            <w:rStyle w:val="Czeindeksu"/>
            <w:vanish w:val="false"/>
            <w:sz w:val="20"/>
            <w:szCs w:val="20"/>
          </w:rPr>
          <w:tab/>
          <w:t>46</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5">
        <w:r>
          <w:rPr>
            <w:rStyle w:val="Czeindeksu"/>
            <w:rFonts w:cs="Calibri" w:cstheme="minorHAnsi"/>
            <w:sz w:val="20"/>
            <w:szCs w:val="20"/>
          </w:rPr>
          <w:t>Tabela 26 Struktura ludności w Gminie Dwikozy w roku 2016 i 2030 wg prognoz GUS</w:t>
        </w:r>
        <w:r>
          <w:rPr>
            <w:webHidden/>
          </w:rPr>
          <w:fldChar w:fldCharType="begin"/>
        </w:r>
        <w:r>
          <w:rPr>
            <w:webHidden/>
          </w:rPr>
          <w:instrText xml:space="preserve">PAGEREF _Toc118887775 \h</w:instrText>
        </w:r>
        <w:r>
          <w:rPr>
            <w:webHidden/>
          </w:rPr>
          <w:fldChar w:fldCharType="separate"/>
        </w:r>
        <w:r>
          <w:rPr>
            <w:rStyle w:val="Czeindeksu"/>
            <w:vanish w:val="false"/>
            <w:sz w:val="20"/>
            <w:szCs w:val="20"/>
          </w:rPr>
          <w:tab/>
          <w:t>47</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6">
        <w:r>
          <w:rPr>
            <w:rStyle w:val="Czeindeksu"/>
            <w:rFonts w:cs="Calibri" w:cstheme="minorHAnsi"/>
            <w:sz w:val="20"/>
            <w:szCs w:val="20"/>
          </w:rPr>
          <w:t>Tabela 27 Ruch naturalny i wędrówkowy – prognoza GUS dla Gminy Dwikozy</w:t>
        </w:r>
        <w:r>
          <w:rPr>
            <w:webHidden/>
          </w:rPr>
          <w:fldChar w:fldCharType="begin"/>
        </w:r>
        <w:r>
          <w:rPr>
            <w:webHidden/>
          </w:rPr>
          <w:instrText xml:space="preserve">PAGEREF _Toc118887776 \h</w:instrText>
        </w:r>
        <w:r>
          <w:rPr>
            <w:webHidden/>
          </w:rPr>
          <w:fldChar w:fldCharType="separate"/>
        </w:r>
        <w:r>
          <w:rPr>
            <w:rStyle w:val="Czeindeksu"/>
            <w:vanish w:val="false"/>
            <w:sz w:val="20"/>
            <w:szCs w:val="20"/>
          </w:rPr>
          <w:tab/>
          <w:t>48</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7">
        <w:r>
          <w:rPr>
            <w:rStyle w:val="Czeindeksu"/>
            <w:rFonts w:cs="Calibri" w:cstheme="minorHAnsi"/>
            <w:sz w:val="20"/>
            <w:szCs w:val="20"/>
          </w:rPr>
          <w:t>Tabela 28 Podsumowanie struktury ludności Gminy Dwikozy wg ekonomicznych grup wiekowych</w:t>
        </w:r>
        <w:r>
          <w:rPr>
            <w:webHidden/>
          </w:rPr>
          <w:fldChar w:fldCharType="begin"/>
        </w:r>
        <w:r>
          <w:rPr>
            <w:webHidden/>
          </w:rPr>
          <w:instrText xml:space="preserve">PAGEREF _Toc118887777 \h</w:instrText>
        </w:r>
        <w:r>
          <w:rPr>
            <w:webHidden/>
          </w:rPr>
          <w:fldChar w:fldCharType="separate"/>
        </w:r>
        <w:r>
          <w:rPr>
            <w:rStyle w:val="Czeindeksu"/>
            <w:vanish w:val="false"/>
            <w:sz w:val="20"/>
            <w:szCs w:val="20"/>
          </w:rPr>
          <w:tab/>
          <w:t>49</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8">
        <w:r>
          <w:rPr>
            <w:rStyle w:val="Czeindeksu"/>
            <w:rFonts w:cs="Calibri" w:cstheme="minorHAnsi"/>
            <w:sz w:val="20"/>
            <w:szCs w:val="20"/>
          </w:rPr>
          <w:t>Tabela 29 Miejscowości z liczbą mieszkańców poniżej 100 wg stanu na 31.12.2021r.</w:t>
        </w:r>
        <w:r>
          <w:rPr>
            <w:webHidden/>
          </w:rPr>
          <w:fldChar w:fldCharType="begin"/>
        </w:r>
        <w:r>
          <w:rPr>
            <w:webHidden/>
          </w:rPr>
          <w:instrText xml:space="preserve">PAGEREF _Toc118887778 \h</w:instrText>
        </w:r>
        <w:r>
          <w:rPr>
            <w:webHidden/>
          </w:rPr>
          <w:fldChar w:fldCharType="separate"/>
        </w:r>
        <w:r>
          <w:rPr>
            <w:rStyle w:val="Czeindeksu"/>
            <w:vanish w:val="false"/>
            <w:sz w:val="20"/>
            <w:szCs w:val="20"/>
          </w:rPr>
          <w:tab/>
          <w:t>49</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79">
        <w:r>
          <w:rPr>
            <w:rStyle w:val="Czeindeksu"/>
            <w:rFonts w:cs="Calibri" w:cstheme="minorHAnsi"/>
            <w:sz w:val="20"/>
            <w:szCs w:val="20"/>
          </w:rPr>
          <w:t>Tabela 30 Powody przyznawania pomocy społecznej przez OPS w Dwikozach w 2017 i 2021r.</w:t>
        </w:r>
        <w:r>
          <w:rPr>
            <w:webHidden/>
          </w:rPr>
          <w:fldChar w:fldCharType="begin"/>
        </w:r>
        <w:r>
          <w:rPr>
            <w:webHidden/>
          </w:rPr>
          <w:instrText xml:space="preserve">PAGEREF _Toc118887779 \h</w:instrText>
        </w:r>
        <w:r>
          <w:rPr>
            <w:webHidden/>
          </w:rPr>
          <w:fldChar w:fldCharType="separate"/>
        </w:r>
        <w:r>
          <w:rPr>
            <w:rStyle w:val="Czeindeksu"/>
            <w:vanish w:val="false"/>
            <w:sz w:val="20"/>
            <w:szCs w:val="20"/>
          </w:rPr>
          <w:tab/>
          <w:t>50</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0">
        <w:r>
          <w:rPr>
            <w:rStyle w:val="Czeindeksu"/>
            <w:rFonts w:cs="Calibri" w:cstheme="minorHAnsi"/>
            <w:sz w:val="20"/>
            <w:szCs w:val="20"/>
          </w:rPr>
          <w:t>Tabela 31 Liczba udzielonych porad w Gminie Dwikozy w latach 2015-2021</w:t>
        </w:r>
        <w:r>
          <w:rPr>
            <w:webHidden/>
          </w:rPr>
          <w:fldChar w:fldCharType="begin"/>
        </w:r>
        <w:r>
          <w:rPr>
            <w:webHidden/>
          </w:rPr>
          <w:instrText xml:space="preserve">PAGEREF _Toc118887780 \h</w:instrText>
        </w:r>
        <w:r>
          <w:rPr>
            <w:webHidden/>
          </w:rPr>
          <w:fldChar w:fldCharType="separate"/>
        </w:r>
        <w:r>
          <w:rPr>
            <w:rStyle w:val="Czeindeksu"/>
            <w:vanish w:val="false"/>
            <w:sz w:val="20"/>
            <w:szCs w:val="20"/>
          </w:rPr>
          <w:tab/>
          <w:t>51</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1">
        <w:r>
          <w:rPr>
            <w:rStyle w:val="Czeindeksu"/>
            <w:rFonts w:cs="Calibri" w:cstheme="minorHAnsi"/>
            <w:sz w:val="20"/>
            <w:szCs w:val="20"/>
          </w:rPr>
          <w:t>Tabela 32 liczba osób zaszczepionych przeciwko COVID-19 w Gminie Dwikozy (stan na 18.07.2022)</w:t>
        </w:r>
        <w:r>
          <w:rPr>
            <w:webHidden/>
          </w:rPr>
          <w:fldChar w:fldCharType="begin"/>
        </w:r>
        <w:r>
          <w:rPr>
            <w:webHidden/>
          </w:rPr>
          <w:instrText xml:space="preserve">PAGEREF _Toc118887781 \h</w:instrText>
        </w:r>
        <w:r>
          <w:rPr>
            <w:webHidden/>
          </w:rPr>
          <w:fldChar w:fldCharType="separate"/>
        </w:r>
        <w:r>
          <w:rPr>
            <w:rStyle w:val="Czeindeksu"/>
            <w:vanish w:val="false"/>
            <w:sz w:val="20"/>
            <w:szCs w:val="20"/>
          </w:rPr>
          <w:tab/>
          <w:t>52</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2">
        <w:r>
          <w:rPr>
            <w:rStyle w:val="Czeindeksu"/>
            <w:rFonts w:cs="Calibri" w:cstheme="minorHAnsi"/>
            <w:sz w:val="20"/>
            <w:szCs w:val="20"/>
          </w:rPr>
          <w:t>Tabela 33 Placówki oświatowe  na terenie gminy Dwikozy</w:t>
        </w:r>
        <w:r>
          <w:rPr>
            <w:webHidden/>
          </w:rPr>
          <w:fldChar w:fldCharType="begin"/>
        </w:r>
        <w:r>
          <w:rPr>
            <w:webHidden/>
          </w:rPr>
          <w:instrText xml:space="preserve">PAGEREF _Toc118887782 \h</w:instrText>
        </w:r>
        <w:r>
          <w:rPr>
            <w:webHidden/>
          </w:rPr>
          <w:fldChar w:fldCharType="separate"/>
        </w:r>
        <w:r>
          <w:rPr>
            <w:rStyle w:val="Czeindeksu"/>
            <w:vanish w:val="false"/>
            <w:sz w:val="20"/>
            <w:szCs w:val="20"/>
          </w:rPr>
          <w:tab/>
          <w:t>53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3">
        <w:r>
          <w:rPr>
            <w:rStyle w:val="Czeindeksu"/>
            <w:rFonts w:cs="Calibri" w:cstheme="minorHAnsi"/>
            <w:sz w:val="20"/>
            <w:szCs w:val="20"/>
          </w:rPr>
          <w:t>Tabela 34 Liczba przedszkolaków i uczniów w placówkach edukacyjnych w Gminie Dwikozy w roku szkolnym 2019/2020</w:t>
        </w:r>
        <w:r>
          <w:rPr>
            <w:webHidden/>
          </w:rPr>
          <w:fldChar w:fldCharType="begin"/>
        </w:r>
        <w:r>
          <w:rPr>
            <w:webHidden/>
          </w:rPr>
          <w:instrText xml:space="preserve">PAGEREF _Toc118887783 \h</w:instrText>
        </w:r>
        <w:r>
          <w:rPr>
            <w:webHidden/>
          </w:rPr>
          <w:fldChar w:fldCharType="separate"/>
        </w:r>
        <w:r>
          <w:rPr>
            <w:rStyle w:val="Czeindeksu"/>
            <w:vanish w:val="false"/>
            <w:sz w:val="20"/>
            <w:szCs w:val="20"/>
          </w:rPr>
          <w:tab/>
          <w:t>59</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4">
        <w:r>
          <w:rPr>
            <w:rStyle w:val="Czeindeksu"/>
            <w:rFonts w:cs="Calibri" w:cstheme="minorHAnsi"/>
            <w:sz w:val="20"/>
            <w:szCs w:val="20"/>
          </w:rPr>
          <w:t>Tabela 35 Liczba przedszkolaków i uczniów w placówkach edukacyjnych w Gminie Dwikozy w roku szkolnym 2020/2021</w:t>
        </w:r>
        <w:r>
          <w:rPr>
            <w:webHidden/>
          </w:rPr>
          <w:fldChar w:fldCharType="begin"/>
        </w:r>
        <w:r>
          <w:rPr>
            <w:webHidden/>
          </w:rPr>
          <w:instrText xml:space="preserve">PAGEREF _Toc118887784 \h</w:instrText>
        </w:r>
        <w:r>
          <w:rPr>
            <w:webHidden/>
          </w:rPr>
          <w:fldChar w:fldCharType="separate"/>
        </w:r>
        <w:r>
          <w:rPr>
            <w:rStyle w:val="Czeindeksu"/>
            <w:vanish w:val="false"/>
            <w:sz w:val="20"/>
            <w:szCs w:val="20"/>
          </w:rPr>
          <w:tab/>
          <w:t>60</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5">
        <w:r>
          <w:rPr>
            <w:rStyle w:val="Czeindeksu"/>
            <w:rFonts w:cs="Calibri" w:cstheme="minorHAnsi"/>
            <w:sz w:val="20"/>
            <w:szCs w:val="20"/>
          </w:rPr>
          <w:t>Tabela 36 Liczba przedszkolaków i uczniów w placówkach edukacyjnych w Gminie Dwikozy w roku szkolnym 2021/2022</w:t>
        </w:r>
        <w:r>
          <w:rPr>
            <w:webHidden/>
          </w:rPr>
          <w:fldChar w:fldCharType="begin"/>
        </w:r>
        <w:r>
          <w:rPr>
            <w:webHidden/>
          </w:rPr>
          <w:instrText xml:space="preserve">PAGEREF _Toc118887785 \h</w:instrText>
        </w:r>
        <w:r>
          <w:rPr>
            <w:webHidden/>
          </w:rPr>
          <w:fldChar w:fldCharType="separate"/>
        </w:r>
        <w:r>
          <w:rPr>
            <w:rStyle w:val="Czeindeksu"/>
            <w:vanish w:val="false"/>
            <w:sz w:val="20"/>
            <w:szCs w:val="20"/>
          </w:rPr>
          <w:tab/>
          <w:t>60</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6">
        <w:r>
          <w:rPr>
            <w:rStyle w:val="Czeindeksu"/>
            <w:rFonts w:cs="Calibri" w:cstheme="minorHAnsi"/>
            <w:sz w:val="20"/>
            <w:szCs w:val="20"/>
          </w:rPr>
          <w:t>Tabela 37 Nauczyciele pełnozatrudnieni i niepełnozatrudnieni w przeliczeniu na etaty</w:t>
        </w:r>
        <w:r>
          <w:rPr>
            <w:webHidden/>
          </w:rPr>
          <w:fldChar w:fldCharType="begin"/>
        </w:r>
        <w:r>
          <w:rPr>
            <w:webHidden/>
          </w:rPr>
          <w:instrText xml:space="preserve">PAGEREF _Toc118887786 \h</w:instrText>
        </w:r>
        <w:r>
          <w:rPr>
            <w:webHidden/>
          </w:rPr>
          <w:fldChar w:fldCharType="separate"/>
        </w:r>
        <w:r>
          <w:rPr>
            <w:rStyle w:val="Czeindeksu"/>
            <w:vanish w:val="false"/>
            <w:sz w:val="20"/>
            <w:szCs w:val="20"/>
          </w:rPr>
          <w:tab/>
          <w:t>61</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7">
        <w:r>
          <w:rPr>
            <w:rStyle w:val="Czeindeksu"/>
            <w:rFonts w:cs="Calibri" w:cstheme="minorHAnsi"/>
            <w:sz w:val="20"/>
            <w:szCs w:val="20"/>
          </w:rPr>
          <w:t>Tabela 38 Wyniki uczniów szkół podstawowych z Gminy Dwikozy z egzaminu ósmoklasisty w 2022r.</w:t>
        </w:r>
        <w:r>
          <w:rPr>
            <w:webHidden/>
          </w:rPr>
          <w:fldChar w:fldCharType="begin"/>
        </w:r>
        <w:r>
          <w:rPr>
            <w:webHidden/>
          </w:rPr>
          <w:instrText xml:space="preserve">PAGEREF _Toc118887787 \h</w:instrText>
        </w:r>
        <w:r>
          <w:rPr>
            <w:webHidden/>
          </w:rPr>
          <w:fldChar w:fldCharType="separate"/>
        </w:r>
        <w:r>
          <w:rPr>
            <w:rStyle w:val="Czeindeksu"/>
            <w:vanish w:val="false"/>
            <w:sz w:val="20"/>
            <w:szCs w:val="20"/>
          </w:rPr>
          <w:tab/>
          <w:t>62</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8">
        <w:r>
          <w:rPr>
            <w:rStyle w:val="Czeindeksu"/>
            <w:rFonts w:cs="Calibri" w:cstheme="minorHAnsi"/>
            <w:sz w:val="20"/>
            <w:szCs w:val="20"/>
          </w:rPr>
          <w:t>Tabela 39 Liczba przestępstw i wykroczeń popełnionych na terenie Gminy Dwikozy w latach 2015-2020</w:t>
        </w:r>
        <w:r>
          <w:rPr>
            <w:webHidden/>
          </w:rPr>
          <w:fldChar w:fldCharType="begin"/>
        </w:r>
        <w:r>
          <w:rPr>
            <w:webHidden/>
          </w:rPr>
          <w:instrText xml:space="preserve">PAGEREF _Toc118887788 \h</w:instrText>
        </w:r>
        <w:r>
          <w:rPr>
            <w:webHidden/>
          </w:rPr>
          <w:fldChar w:fldCharType="separate"/>
        </w:r>
        <w:r>
          <w:rPr>
            <w:rStyle w:val="Czeindeksu"/>
            <w:vanish w:val="false"/>
            <w:sz w:val="20"/>
            <w:szCs w:val="20"/>
          </w:rPr>
          <w:tab/>
          <w:t>65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89">
        <w:r>
          <w:rPr>
            <w:rStyle w:val="Czeindeksu"/>
            <w:rFonts w:cs="Calibri" w:cstheme="minorHAnsi"/>
            <w:sz w:val="20"/>
            <w:szCs w:val="20"/>
          </w:rPr>
          <w:t>Tabela 40 Wykaz jednostek straży pożarnej działających na terenie gminy Dwikozy</w:t>
        </w:r>
        <w:r>
          <w:rPr>
            <w:webHidden/>
          </w:rPr>
          <w:fldChar w:fldCharType="begin"/>
        </w:r>
        <w:r>
          <w:rPr>
            <w:webHidden/>
          </w:rPr>
          <w:instrText xml:space="preserve">PAGEREF _Toc118887789 \h</w:instrText>
        </w:r>
        <w:r>
          <w:rPr>
            <w:webHidden/>
          </w:rPr>
          <w:fldChar w:fldCharType="separate"/>
        </w:r>
        <w:r>
          <w:rPr>
            <w:rStyle w:val="Czeindeksu"/>
            <w:vanish w:val="false"/>
            <w:sz w:val="20"/>
            <w:szCs w:val="20"/>
          </w:rPr>
          <w:tab/>
          <w:t>65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0">
        <w:r>
          <w:rPr>
            <w:rStyle w:val="Czeindeksu"/>
            <w:rFonts w:cs="Calibri" w:cstheme="minorHAnsi"/>
            <w:sz w:val="20"/>
            <w:szCs w:val="20"/>
          </w:rPr>
          <w:t>Tabela 41 Liczba czytelników i księgozbiór w latach 2015-2020 na terenie gminy Dwikozy</w:t>
        </w:r>
        <w:r>
          <w:rPr>
            <w:webHidden/>
          </w:rPr>
          <w:fldChar w:fldCharType="begin"/>
        </w:r>
        <w:r>
          <w:rPr>
            <w:webHidden/>
          </w:rPr>
          <w:instrText xml:space="preserve">PAGEREF _Toc118887790 \h</w:instrText>
        </w:r>
        <w:r>
          <w:rPr>
            <w:webHidden/>
          </w:rPr>
          <w:fldChar w:fldCharType="separate"/>
        </w:r>
        <w:r>
          <w:rPr>
            <w:rStyle w:val="Czeindeksu"/>
            <w:vanish w:val="false"/>
            <w:sz w:val="20"/>
            <w:szCs w:val="20"/>
          </w:rPr>
          <w:tab/>
          <w:t>68</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1">
        <w:r>
          <w:rPr>
            <w:rStyle w:val="Czeindeksu"/>
            <w:rFonts w:cs="Calibri" w:cstheme="minorHAnsi"/>
            <w:sz w:val="20"/>
            <w:szCs w:val="20"/>
          </w:rPr>
          <w:t>Tabela 42 Infrastruktura społeczno-kulturalna w sołectwach na terenie gminy Dwikozy (na 31.12.2021r.)</w:t>
        </w:r>
        <w:r>
          <w:rPr>
            <w:webHidden/>
          </w:rPr>
          <w:fldChar w:fldCharType="begin"/>
        </w:r>
        <w:r>
          <w:rPr>
            <w:webHidden/>
          </w:rPr>
          <w:instrText xml:space="preserve">PAGEREF _Toc118887791 \h</w:instrText>
        </w:r>
        <w:r>
          <w:rPr>
            <w:webHidden/>
          </w:rPr>
          <w:fldChar w:fldCharType="separate"/>
        </w:r>
        <w:r>
          <w:rPr>
            <w:rStyle w:val="Czeindeksu"/>
            <w:vanish w:val="false"/>
            <w:sz w:val="20"/>
            <w:szCs w:val="20"/>
          </w:rPr>
          <w:tab/>
          <w:t>68</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2">
        <w:r>
          <w:rPr>
            <w:rStyle w:val="Czeindeksu"/>
            <w:rFonts w:cs="Calibri" w:cstheme="minorHAnsi"/>
            <w:sz w:val="20"/>
            <w:szCs w:val="20"/>
          </w:rPr>
          <w:t>Tabela 43 Powierzchna sołectw i liczby gospodarstw na terenie gminy Dwikozy wg stanu na 31.12.2021r.</w:t>
        </w:r>
        <w:r>
          <w:rPr>
            <w:webHidden/>
          </w:rPr>
          <w:fldChar w:fldCharType="begin"/>
        </w:r>
        <w:r>
          <w:rPr>
            <w:webHidden/>
          </w:rPr>
          <w:instrText xml:space="preserve">PAGEREF _Toc118887792 \h</w:instrText>
        </w:r>
        <w:r>
          <w:rPr>
            <w:webHidden/>
          </w:rPr>
          <w:fldChar w:fldCharType="separate"/>
        </w:r>
        <w:r>
          <w:rPr>
            <w:rStyle w:val="Czeindeksu"/>
            <w:vanish w:val="false"/>
            <w:sz w:val="20"/>
            <w:szCs w:val="20"/>
          </w:rPr>
          <w:tab/>
          <w:t>72</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3">
        <w:r>
          <w:rPr>
            <w:rStyle w:val="Czeindeksu"/>
            <w:rFonts w:cs="Calibri" w:cstheme="minorHAnsi"/>
            <w:sz w:val="20"/>
            <w:szCs w:val="20"/>
          </w:rPr>
          <w:t>Tabela 44 Liczba zarejestrowanych firm w Centralnej Ewidencji i Informacji o Działalności Gospodarczej (CEiDG) na terenie gminy Dwikozy stan na 31.12.2021r.</w:t>
        </w:r>
        <w:r>
          <w:rPr>
            <w:webHidden/>
          </w:rPr>
          <w:fldChar w:fldCharType="begin"/>
        </w:r>
        <w:r>
          <w:rPr>
            <w:webHidden/>
          </w:rPr>
          <w:instrText xml:space="preserve">PAGEREF _Toc118887793 \h</w:instrText>
        </w:r>
        <w:r>
          <w:rPr>
            <w:webHidden/>
          </w:rPr>
          <w:fldChar w:fldCharType="separate"/>
        </w:r>
        <w:r>
          <w:rPr>
            <w:rStyle w:val="Czeindeksu"/>
            <w:vanish w:val="false"/>
            <w:sz w:val="20"/>
            <w:szCs w:val="20"/>
          </w:rPr>
          <w:tab/>
          <w:t>73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4">
        <w:r>
          <w:rPr>
            <w:rStyle w:val="Czeindeksu"/>
            <w:rFonts w:cs="Calibri" w:cstheme="minorHAnsi"/>
            <w:sz w:val="20"/>
            <w:szCs w:val="20"/>
          </w:rPr>
          <w:t>Tabela 45 Podmioty gospodarki narodowej wpisane do rejestru REGON w latach 2016-2021 na terenie Gminy Dwikozy według klas wielkości</w:t>
        </w:r>
        <w:r>
          <w:rPr>
            <w:webHidden/>
          </w:rPr>
          <w:fldChar w:fldCharType="begin"/>
        </w:r>
        <w:r>
          <w:rPr>
            <w:webHidden/>
          </w:rPr>
          <w:instrText xml:space="preserve">PAGEREF _Toc118887794 \h</w:instrText>
        </w:r>
        <w:r>
          <w:rPr>
            <w:webHidden/>
          </w:rPr>
          <w:fldChar w:fldCharType="separate"/>
        </w:r>
        <w:r>
          <w:rPr>
            <w:rStyle w:val="Czeindeksu"/>
            <w:vanish w:val="false"/>
            <w:sz w:val="20"/>
            <w:szCs w:val="20"/>
          </w:rPr>
          <w:tab/>
          <w:t>73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5">
        <w:r>
          <w:rPr>
            <w:rStyle w:val="Czeindeksu"/>
            <w:sz w:val="20"/>
            <w:szCs w:val="20"/>
          </w:rPr>
          <w:t>Tabela 46 Podmioty gospodarki narodowej wpisane do rejestru REGON w latach 2016-2021</w:t>
        </w:r>
        <w:r>
          <w:rPr>
            <w:webHidden/>
          </w:rPr>
          <w:fldChar w:fldCharType="begin"/>
        </w:r>
        <w:r>
          <w:rPr>
            <w:webHidden/>
          </w:rPr>
          <w:instrText xml:space="preserve">PAGEREF _Toc118887795 \h</w:instrText>
        </w:r>
        <w:r>
          <w:rPr>
            <w:webHidden/>
          </w:rPr>
          <w:fldChar w:fldCharType="separate"/>
        </w:r>
        <w:r>
          <w:rPr>
            <w:rStyle w:val="Czeindeksu"/>
            <w:vanish w:val="false"/>
            <w:sz w:val="20"/>
            <w:szCs w:val="20"/>
          </w:rPr>
          <w:tab/>
          <w:t>74</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6">
        <w:r>
          <w:rPr>
            <w:rStyle w:val="Czeindeksu"/>
            <w:sz w:val="20"/>
            <w:szCs w:val="20"/>
          </w:rPr>
          <w:t>Tabela 47 Podmioty nowo zarejestrowane i wyrejestrowane wpisane do rejestru REGON w Gminy Dwikozy   w latach 2015-2021</w:t>
        </w:r>
        <w:r>
          <w:rPr>
            <w:webHidden/>
          </w:rPr>
          <w:fldChar w:fldCharType="begin"/>
        </w:r>
        <w:r>
          <w:rPr>
            <w:webHidden/>
          </w:rPr>
          <w:instrText xml:space="preserve">PAGEREF _Toc118887796 \h</w:instrText>
        </w:r>
        <w:r>
          <w:rPr>
            <w:webHidden/>
          </w:rPr>
          <w:fldChar w:fldCharType="separate"/>
        </w:r>
        <w:r>
          <w:rPr>
            <w:rStyle w:val="Czeindeksu"/>
            <w:vanish w:val="false"/>
            <w:sz w:val="20"/>
            <w:szCs w:val="20"/>
          </w:rPr>
          <w:tab/>
          <w:t>74</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7">
        <w:r>
          <w:rPr>
            <w:rStyle w:val="Czeindeksu"/>
            <w:rFonts w:cs="Calibri" w:cstheme="minorHAnsi"/>
            <w:sz w:val="20"/>
            <w:szCs w:val="20"/>
          </w:rPr>
          <w:t>Tabela 48 Liczba mieszkań na terenie Gminy Dwikozy w latach 2016-2021</w:t>
        </w:r>
        <w:r>
          <w:rPr>
            <w:webHidden/>
          </w:rPr>
          <w:fldChar w:fldCharType="begin"/>
        </w:r>
        <w:r>
          <w:rPr>
            <w:webHidden/>
          </w:rPr>
          <w:instrText xml:space="preserve">PAGEREF _Toc118887797 \h</w:instrText>
        </w:r>
        <w:r>
          <w:rPr>
            <w:webHidden/>
          </w:rPr>
          <w:fldChar w:fldCharType="separate"/>
        </w:r>
        <w:r>
          <w:rPr>
            <w:rStyle w:val="Czeindeksu"/>
            <w:vanish w:val="false"/>
            <w:sz w:val="20"/>
            <w:szCs w:val="20"/>
          </w:rPr>
          <w:tab/>
          <w:t>75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8">
        <w:r>
          <w:rPr>
            <w:rStyle w:val="Czeindeksu"/>
            <w:rFonts w:cs="Calibri" w:cstheme="minorHAnsi"/>
            <w:sz w:val="20"/>
            <w:szCs w:val="20"/>
          </w:rPr>
          <w:t>Tabela 49 Stopa bezrobocia w latach 2017-2021 na terenie powiatu sandomierskiego, województwa świętokrzyskiego i całego kraju</w:t>
        </w:r>
        <w:r>
          <w:rPr>
            <w:webHidden/>
          </w:rPr>
          <w:fldChar w:fldCharType="begin"/>
        </w:r>
        <w:r>
          <w:rPr>
            <w:webHidden/>
          </w:rPr>
          <w:instrText xml:space="preserve">PAGEREF _Toc118887798 \h</w:instrText>
        </w:r>
        <w:r>
          <w:rPr>
            <w:webHidden/>
          </w:rPr>
          <w:fldChar w:fldCharType="separate"/>
        </w:r>
        <w:r>
          <w:rPr>
            <w:rStyle w:val="Czeindeksu"/>
            <w:vanish w:val="false"/>
            <w:sz w:val="20"/>
            <w:szCs w:val="20"/>
          </w:rPr>
          <w:tab/>
          <w:t>75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799">
        <w:r>
          <w:rPr>
            <w:rStyle w:val="Czeindeksu"/>
            <w:rFonts w:eastAsia="SimSun" w:cs="Calibri" w:cstheme="minorHAnsi"/>
            <w:sz w:val="20"/>
            <w:szCs w:val="20"/>
            <w:lang w:eastAsia="zh-CN"/>
          </w:rPr>
          <w:t>Tabela 50 Bezrobocie na terenie gminy Dwikozy w latach 2016-2021</w:t>
        </w:r>
        <w:r>
          <w:rPr>
            <w:webHidden/>
          </w:rPr>
          <w:fldChar w:fldCharType="begin"/>
        </w:r>
        <w:r>
          <w:rPr>
            <w:webHidden/>
          </w:rPr>
          <w:instrText xml:space="preserve">PAGEREF _Toc118887799 \h</w:instrText>
        </w:r>
        <w:r>
          <w:rPr>
            <w:webHidden/>
          </w:rPr>
          <w:fldChar w:fldCharType="separate"/>
        </w:r>
        <w:r>
          <w:rPr>
            <w:rStyle w:val="Czeindeksu"/>
            <w:vanish w:val="false"/>
            <w:sz w:val="20"/>
            <w:szCs w:val="20"/>
          </w:rPr>
          <w:tab/>
          <w:t>75</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0">
        <w:r>
          <w:rPr>
            <w:rStyle w:val="Czeindeksu"/>
            <w:rFonts w:cs="Calibri" w:cstheme="minorHAnsi"/>
            <w:sz w:val="20"/>
            <w:szCs w:val="20"/>
          </w:rPr>
          <w:t xml:space="preserve">Tabela 51 </w:t>
        </w:r>
        <w:r>
          <w:rPr>
            <w:rStyle w:val="Czeindeksu"/>
            <w:rFonts w:eastAsia="Times New Roman" w:cs="Calibri" w:cstheme="minorHAnsi"/>
            <w:sz w:val="20"/>
            <w:szCs w:val="20"/>
            <w:lang w:eastAsia="pl-PL"/>
          </w:rPr>
          <w:t>Liczba osób bezrobotnych w Gminie Dwikozy według staniu na dzień 31.12</w:t>
        </w:r>
        <w:r>
          <w:rPr>
            <w:webHidden/>
          </w:rPr>
          <w:fldChar w:fldCharType="begin"/>
        </w:r>
        <w:r>
          <w:rPr>
            <w:webHidden/>
          </w:rPr>
          <w:instrText xml:space="preserve">PAGEREF _Toc118887800 \h</w:instrText>
        </w:r>
        <w:r>
          <w:rPr>
            <w:webHidden/>
          </w:rPr>
          <w:fldChar w:fldCharType="separate"/>
        </w:r>
        <w:r>
          <w:rPr>
            <w:rStyle w:val="Czeindeksu"/>
            <w:vanish w:val="false"/>
            <w:sz w:val="20"/>
            <w:szCs w:val="20"/>
          </w:rPr>
          <w:tab/>
          <w:t>76</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1">
        <w:r>
          <w:rPr>
            <w:rStyle w:val="Czeindeksu"/>
            <w:rFonts w:cs="Calibri" w:cstheme="minorHAnsi"/>
            <w:sz w:val="20"/>
            <w:szCs w:val="20"/>
          </w:rPr>
          <w:t xml:space="preserve">Tabela 52 </w:t>
        </w:r>
        <w:r>
          <w:rPr>
            <w:rStyle w:val="Czeindeksu"/>
            <w:rFonts w:eastAsia="Times New Roman" w:cs="Calibri" w:cstheme="minorHAnsi"/>
            <w:sz w:val="20"/>
            <w:szCs w:val="20"/>
            <w:lang w:eastAsia="pl-PL"/>
          </w:rPr>
          <w:t>Struktura bezrobotnych w Gminie Dwikozy na tle powiatu i województwa (stan na 31.12.2021)</w:t>
        </w:r>
        <w:r>
          <w:rPr>
            <w:webHidden/>
          </w:rPr>
          <w:fldChar w:fldCharType="begin"/>
        </w:r>
        <w:r>
          <w:rPr>
            <w:webHidden/>
          </w:rPr>
          <w:instrText xml:space="preserve">PAGEREF _Toc118887801 \h</w:instrText>
        </w:r>
        <w:r>
          <w:rPr>
            <w:webHidden/>
          </w:rPr>
          <w:fldChar w:fldCharType="separate"/>
        </w:r>
        <w:r>
          <w:rPr>
            <w:rStyle w:val="Czeindeksu"/>
            <w:vanish w:val="false"/>
            <w:sz w:val="20"/>
            <w:szCs w:val="20"/>
          </w:rPr>
          <w:tab/>
          <w:t>76</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2">
        <w:r>
          <w:rPr>
            <w:rStyle w:val="Czeindeksu"/>
            <w:rFonts w:cs="Calibri" w:cstheme="minorHAnsi"/>
            <w:sz w:val="20"/>
            <w:szCs w:val="20"/>
          </w:rPr>
          <w:t>Tabela 53 Liczba osób pracujących na 1000 mieszkańców w Gminie Dwikozy w latach 2016-2021</w:t>
        </w:r>
        <w:r>
          <w:rPr>
            <w:webHidden/>
          </w:rPr>
          <w:fldChar w:fldCharType="begin"/>
        </w:r>
        <w:r>
          <w:rPr>
            <w:webHidden/>
          </w:rPr>
          <w:instrText xml:space="preserve">PAGEREF _Toc118887802 \h</w:instrText>
        </w:r>
        <w:r>
          <w:rPr>
            <w:webHidden/>
          </w:rPr>
          <w:fldChar w:fldCharType="separate"/>
        </w:r>
        <w:r>
          <w:rPr>
            <w:rStyle w:val="Czeindeksu"/>
            <w:vanish w:val="false"/>
            <w:sz w:val="20"/>
            <w:szCs w:val="20"/>
          </w:rPr>
          <w:tab/>
          <w:t>76</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3">
        <w:r>
          <w:rPr>
            <w:rStyle w:val="Czeindeksu"/>
            <w:rFonts w:cs="Calibri" w:cstheme="minorHAnsi"/>
            <w:sz w:val="20"/>
            <w:szCs w:val="20"/>
          </w:rPr>
          <w:t>Tabela 54 Prognoza zawodów deficytowych i nadwyżkowych w roku 2022 w powiecie sandomierskim</w:t>
        </w:r>
        <w:r>
          <w:rPr>
            <w:webHidden/>
          </w:rPr>
          <w:fldChar w:fldCharType="begin"/>
        </w:r>
        <w:r>
          <w:rPr>
            <w:webHidden/>
          </w:rPr>
          <w:instrText xml:space="preserve">PAGEREF _Toc118887803 \h</w:instrText>
        </w:r>
        <w:r>
          <w:rPr>
            <w:webHidden/>
          </w:rPr>
          <w:fldChar w:fldCharType="separate"/>
        </w:r>
        <w:r>
          <w:rPr>
            <w:rStyle w:val="Czeindeksu"/>
            <w:vanish w:val="false"/>
            <w:sz w:val="20"/>
            <w:szCs w:val="20"/>
          </w:rPr>
          <w:tab/>
          <w:t>77</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4">
        <w:r>
          <w:rPr>
            <w:rStyle w:val="Czeindeksu"/>
            <w:rFonts w:cs="Calibri" w:cstheme="minorHAnsi"/>
            <w:sz w:val="20"/>
            <w:szCs w:val="20"/>
          </w:rPr>
          <w:t>Tabela 55 Dochody i wydatki gminy Dwikozy w latach 2017-2021</w:t>
        </w:r>
        <w:r>
          <w:rPr>
            <w:webHidden/>
          </w:rPr>
          <w:fldChar w:fldCharType="begin"/>
        </w:r>
        <w:r>
          <w:rPr>
            <w:webHidden/>
          </w:rPr>
          <w:instrText xml:space="preserve">PAGEREF _Toc118887804 \h</w:instrText>
        </w:r>
        <w:r>
          <w:rPr>
            <w:webHidden/>
          </w:rPr>
          <w:fldChar w:fldCharType="separate"/>
        </w:r>
        <w:r>
          <w:rPr>
            <w:rStyle w:val="Czeindeksu"/>
            <w:vanish w:val="false"/>
            <w:sz w:val="20"/>
            <w:szCs w:val="20"/>
          </w:rPr>
          <w:tab/>
          <w:t>83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5">
        <w:r>
          <w:rPr>
            <w:rStyle w:val="Czeindeksu"/>
            <w:rFonts w:cs="Calibri" w:cstheme="minorHAnsi"/>
            <w:sz w:val="20"/>
            <w:szCs w:val="20"/>
          </w:rPr>
          <w:t>Tabela 56 Wykonanie budżetu Gminy Dwikozy w latach 2019-2021</w:t>
        </w:r>
        <w:r>
          <w:rPr>
            <w:webHidden/>
          </w:rPr>
          <w:fldChar w:fldCharType="begin"/>
        </w:r>
        <w:r>
          <w:rPr>
            <w:webHidden/>
          </w:rPr>
          <w:instrText xml:space="preserve">PAGEREF _Toc118887805 \h</w:instrText>
        </w:r>
        <w:r>
          <w:rPr>
            <w:webHidden/>
          </w:rPr>
          <w:fldChar w:fldCharType="separate"/>
        </w:r>
        <w:r>
          <w:rPr>
            <w:rStyle w:val="Czeindeksu"/>
            <w:vanish w:val="false"/>
            <w:sz w:val="20"/>
            <w:szCs w:val="20"/>
          </w:rPr>
          <w:tab/>
          <w:t>83</w:t>
        </w:r>
        <w:r>
          <w:rPr>
            <w:webHidden/>
          </w:rPr>
          <w:fldChar w:fldCharType="end"/>
        </w:r>
      </w:hyperlink>
    </w:p>
    <w:p>
      <w:pPr>
        <w:pStyle w:val="Tableoffigures"/>
        <w:tabs>
          <w:tab w:val="clear" w:pos="720"/>
          <w:tab w:val="right" w:pos="9016" w:leader="dot"/>
        </w:tabs>
        <w:spacing w:lineRule="auto" w:line="240"/>
        <w:rPr>
          <w:rFonts w:eastAsia="" w:eastAsiaTheme="minorEastAsia"/>
          <w:sz w:val="20"/>
          <w:szCs w:val="20"/>
          <w:lang w:eastAsia="pl-PL"/>
        </w:rPr>
      </w:pPr>
      <w:hyperlink w:anchor="_Toc118887806">
        <w:r>
          <w:rPr>
            <w:rStyle w:val="Czeindeksu"/>
            <w:rFonts w:cs="Calibri" w:cstheme="minorHAnsi"/>
            <w:sz w:val="20"/>
            <w:szCs w:val="20"/>
          </w:rPr>
          <w:t>Tabela 57 Struktura dochodów i wydatków Gminy Dwikozy w latach 2019-2021</w:t>
        </w:r>
        <w:r>
          <w:rPr>
            <w:webHidden/>
          </w:rPr>
          <w:fldChar w:fldCharType="begin"/>
        </w:r>
        <w:r>
          <w:rPr>
            <w:webHidden/>
          </w:rPr>
          <w:instrText xml:space="preserve">PAGEREF _Toc118887806 \h</w:instrText>
        </w:r>
        <w:r>
          <w:rPr>
            <w:webHidden/>
          </w:rPr>
          <w:fldChar w:fldCharType="separate"/>
        </w:r>
        <w:r>
          <w:rPr>
            <w:rStyle w:val="Czeindeksu"/>
            <w:vanish w:val="false"/>
            <w:sz w:val="20"/>
            <w:szCs w:val="20"/>
          </w:rPr>
          <w:tab/>
          <w:t>84</w:t>
        </w:r>
        <w:r>
          <w:rPr>
            <w:webHidden/>
          </w:rPr>
          <w:fldChar w:fldCharType="end"/>
        </w:r>
      </w:hyperlink>
      <w:r>
        <w:rPr>
          <w:rStyle w:val="Czeindeksu"/>
          <w:sz w:val="20"/>
          <w:szCs w:val="20"/>
          <w:vanish w:val="false"/>
        </w:rPr>
        <w:fldChar w:fldCharType="end"/>
      </w:r>
    </w:p>
    <w:p>
      <w:pPr>
        <w:pStyle w:val="NoSpacing"/>
        <w:jc w:val="both"/>
        <w:rPr>
          <w:rFonts w:ascii="Calibri" w:hAnsi="Calibri" w:cs="Calibri" w:asciiTheme="minorHAnsi" w:cstheme="minorHAnsi" w:hAnsiTheme="minorHAnsi"/>
          <w:sz w:val="20"/>
          <w:szCs w:val="20"/>
        </w:rPr>
      </w:pPr>
      <w:r>
        <w:rPr>
          <w:rFonts w:cs="Calibri" w:cstheme="minorHAnsi"/>
          <w:sz w:val="20"/>
          <w:szCs w:val="20"/>
        </w:rPr>
      </w:r>
    </w:p>
    <w:p>
      <w:pPr>
        <w:pStyle w:val="Nagwek2"/>
        <w:spacing w:lineRule="auto" w:line="240" w:before="0" w:after="0"/>
        <w:jc w:val="both"/>
        <w:rPr>
          <w:rFonts w:ascii="Calibri" w:hAnsi="Calibri" w:cs="Calibri" w:asciiTheme="minorHAnsi" w:cstheme="minorHAnsi" w:hAnsiTheme="minorHAnsi"/>
          <w:i w:val="false"/>
          <w:i w:val="false"/>
          <w:iCs w:val="false"/>
        </w:rPr>
      </w:pPr>
      <w:bookmarkStart w:id="302" w:name="_Toc118887477"/>
      <w:r>
        <w:rPr>
          <w:rFonts w:cs="Calibri" w:ascii="Calibri" w:hAnsi="Calibri" w:asciiTheme="minorHAnsi" w:cstheme="minorHAnsi" w:hAnsiTheme="minorHAnsi"/>
          <w:i w:val="false"/>
          <w:iCs w:val="false"/>
        </w:rPr>
        <w:t>Spis wykresów</w:t>
      </w:r>
      <w:bookmarkEnd w:id="302"/>
    </w:p>
    <w:p>
      <w:pPr>
        <w:pStyle w:val="Tableoffigures"/>
        <w:tabs>
          <w:tab w:val="clear" w:pos="720"/>
          <w:tab w:val="right" w:pos="9016" w:leader="dot"/>
        </w:tabs>
        <w:rPr>
          <w:rFonts w:eastAsia="" w:eastAsiaTheme="minorEastAsia"/>
          <w:sz w:val="20"/>
          <w:szCs w:val="20"/>
          <w:lang w:eastAsia="pl-PL"/>
        </w:rPr>
      </w:pPr>
      <w:r>
        <w:fldChar w:fldCharType="begin"/>
      </w:r>
      <w:r>
        <w:rPr>
          <w:rStyle w:val="Czeindeksu"/>
          <w:sz w:val="20"/>
          <w:szCs w:val="20"/>
          <w:rFonts w:cs="Calibri"/>
        </w:rPr>
        <w:instrText xml:space="preserve"> TOC \c "Wykres" </w:instrText>
      </w:r>
      <w:r>
        <w:rPr>
          <w:rStyle w:val="Czeindeksu"/>
          <w:sz w:val="20"/>
          <w:szCs w:val="20"/>
          <w:rFonts w:cs="Calibri"/>
        </w:rPr>
        <w:fldChar w:fldCharType="separate"/>
      </w:r>
      <w:hyperlink w:anchor="_Toc118887428">
        <w:r>
          <w:rPr>
            <w:rStyle w:val="Czeindeksu"/>
            <w:rFonts w:cs="Calibri" w:cstheme="minorHAnsi"/>
            <w:sz w:val="20"/>
            <w:szCs w:val="20"/>
          </w:rPr>
          <w:t>Wykres 1 Struktura ludności na terenie Gminy Dwikozy w latach 2015-2021</w:t>
        </w:r>
        <w:r>
          <w:rPr>
            <w:webHidden/>
          </w:rPr>
          <w:fldChar w:fldCharType="begin"/>
        </w:r>
        <w:r>
          <w:rPr>
            <w:webHidden/>
          </w:rPr>
          <w:instrText xml:space="preserve">PAGEREF _Toc118887428 \h</w:instrText>
        </w:r>
        <w:r>
          <w:rPr>
            <w:webHidden/>
          </w:rPr>
          <w:fldChar w:fldCharType="separate"/>
        </w:r>
        <w:r>
          <w:rPr>
            <w:rStyle w:val="Czeindeksu"/>
            <w:vanish w:val="false"/>
            <w:sz w:val="20"/>
            <w:szCs w:val="20"/>
          </w:rPr>
          <w:tab/>
          <w:t>42</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29">
        <w:r>
          <w:rPr>
            <w:rStyle w:val="Czeindeksu"/>
            <w:rFonts w:cs="Calibri" w:cstheme="minorHAnsi"/>
            <w:sz w:val="20"/>
            <w:szCs w:val="20"/>
          </w:rPr>
          <w:t>Wykres 2 Przyrost naturalny w gminie Dwikozy w latach 2015-2021</w:t>
        </w:r>
        <w:r>
          <w:rPr>
            <w:webHidden/>
          </w:rPr>
          <w:fldChar w:fldCharType="begin"/>
        </w:r>
        <w:r>
          <w:rPr>
            <w:webHidden/>
          </w:rPr>
          <w:instrText xml:space="preserve">PAGEREF _Toc118887429 \h</w:instrText>
        </w:r>
        <w:r>
          <w:rPr>
            <w:webHidden/>
          </w:rPr>
          <w:fldChar w:fldCharType="separate"/>
        </w:r>
        <w:r>
          <w:rPr>
            <w:rStyle w:val="Czeindeksu"/>
            <w:vanish w:val="false"/>
            <w:sz w:val="20"/>
            <w:szCs w:val="20"/>
          </w:rPr>
          <w:tab/>
          <w:t>42</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0">
        <w:r>
          <w:rPr>
            <w:rStyle w:val="Czeindeksu"/>
            <w:rFonts w:cs="Calibri" w:cstheme="minorHAnsi"/>
            <w:sz w:val="20"/>
            <w:szCs w:val="20"/>
          </w:rPr>
          <w:t xml:space="preserve">Wykres 3 </w:t>
        </w:r>
        <w:r>
          <w:rPr>
            <w:rStyle w:val="Czeindeksu"/>
            <w:rFonts w:eastAsia="Times New Roman" w:cs="Calibri" w:cstheme="minorHAnsi"/>
            <w:sz w:val="20"/>
            <w:szCs w:val="20"/>
            <w:lang w:eastAsia="pl-PL"/>
          </w:rPr>
          <w:t>Migracja na pobyt stały  w Gminie Dwikozy w latach 2015-2020</w:t>
        </w:r>
        <w:r>
          <w:rPr>
            <w:webHidden/>
          </w:rPr>
          <w:fldChar w:fldCharType="begin"/>
        </w:r>
        <w:r>
          <w:rPr>
            <w:webHidden/>
          </w:rPr>
          <w:instrText xml:space="preserve">PAGEREF _Toc118887430 \h</w:instrText>
        </w:r>
        <w:r>
          <w:rPr>
            <w:webHidden/>
          </w:rPr>
          <w:fldChar w:fldCharType="separate"/>
        </w:r>
        <w:r>
          <w:rPr>
            <w:rStyle w:val="Czeindeksu"/>
            <w:vanish w:val="false"/>
            <w:sz w:val="20"/>
            <w:szCs w:val="20"/>
          </w:rPr>
          <w:tab/>
          <w:t>44</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1">
        <w:r>
          <w:rPr>
            <w:rStyle w:val="Czeindeksu"/>
            <w:rFonts w:cs="Calibri" w:cstheme="minorHAnsi"/>
            <w:sz w:val="20"/>
            <w:szCs w:val="20"/>
          </w:rPr>
          <w:t>Wykres 4 Przestępstwa stwierdzone (oszacowane) w Gminie Dwikozy w latach 2012-2020</w:t>
        </w:r>
        <w:r>
          <w:rPr>
            <w:webHidden/>
          </w:rPr>
          <w:fldChar w:fldCharType="begin"/>
        </w:r>
        <w:r>
          <w:rPr>
            <w:webHidden/>
          </w:rPr>
          <w:instrText xml:space="preserve">PAGEREF _Toc118887431 \h</w:instrText>
        </w:r>
        <w:r>
          <w:rPr>
            <w:webHidden/>
          </w:rPr>
          <w:fldChar w:fldCharType="separate"/>
        </w:r>
        <w:r>
          <w:rPr>
            <w:rStyle w:val="Czeindeksu"/>
            <w:vanish w:val="false"/>
            <w:sz w:val="20"/>
            <w:szCs w:val="20"/>
          </w:rPr>
          <w:tab/>
          <w:t>64</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2">
        <w:r>
          <w:rPr>
            <w:rStyle w:val="Czeindeksu"/>
            <w:rFonts w:cs="Calibri" w:cstheme="minorHAnsi"/>
            <w:sz w:val="20"/>
            <w:szCs w:val="20"/>
          </w:rPr>
          <w:t>Wykres 5 Udział grup zawodów ze względu na prognozowane zapotrzebowanie w woj. świętokrzyskim   w latach 2016-2022</w:t>
        </w:r>
        <w:r>
          <w:rPr>
            <w:webHidden/>
          </w:rPr>
          <w:fldChar w:fldCharType="begin"/>
        </w:r>
        <w:r>
          <w:rPr>
            <w:webHidden/>
          </w:rPr>
          <w:instrText xml:space="preserve">PAGEREF _Toc118887432 \h</w:instrText>
        </w:r>
        <w:r>
          <w:rPr>
            <w:webHidden/>
          </w:rPr>
          <w:fldChar w:fldCharType="separate"/>
        </w:r>
        <w:r>
          <w:rPr>
            <w:rStyle w:val="Czeindeksu"/>
            <w:vanish w:val="false"/>
            <w:sz w:val="20"/>
            <w:szCs w:val="20"/>
          </w:rPr>
          <w:tab/>
          <w:t>76</w:t>
        </w:r>
        <w:r>
          <w:rPr>
            <w:webHidden/>
          </w:rPr>
          <w:fldChar w:fldCharType="end"/>
        </w:r>
      </w:hyperlink>
      <w:r>
        <w:rPr>
          <w:rStyle w:val="Czeindeksu"/>
          <w:sz w:val="20"/>
          <w:szCs w:val="20"/>
          <w:vanish w:val="false"/>
        </w:rPr>
        <w:fldChar w:fldCharType="end"/>
      </w:r>
    </w:p>
    <w:p>
      <w:pPr>
        <w:pStyle w:val="NoSpacing"/>
        <w:jc w:val="both"/>
        <w:rPr>
          <w:rFonts w:ascii="Calibri" w:hAnsi="Calibri" w:cs="Calibri" w:asciiTheme="minorHAnsi" w:cstheme="minorHAnsi" w:hAnsiTheme="minorHAnsi"/>
        </w:rPr>
      </w:pPr>
      <w:r>
        <w:rPr>
          <w:rFonts w:cs="Calibri" w:cstheme="minorHAnsi"/>
        </w:rPr>
      </w:r>
    </w:p>
    <w:p>
      <w:pPr>
        <w:pStyle w:val="Nagwek2"/>
        <w:spacing w:lineRule="auto" w:line="240" w:before="0" w:after="0"/>
        <w:jc w:val="both"/>
        <w:rPr>
          <w:rFonts w:ascii="Calibri" w:hAnsi="Calibri" w:cs="Calibri" w:asciiTheme="minorHAnsi" w:cstheme="minorHAnsi" w:hAnsiTheme="minorHAnsi"/>
          <w:i w:val="false"/>
          <w:i w:val="false"/>
          <w:iCs w:val="false"/>
        </w:rPr>
      </w:pPr>
      <w:bookmarkStart w:id="303" w:name="_Toc118887478"/>
      <w:r>
        <w:rPr>
          <w:rFonts w:cs="Calibri" w:ascii="Calibri" w:hAnsi="Calibri" w:asciiTheme="minorHAnsi" w:cstheme="minorHAnsi" w:hAnsiTheme="minorHAnsi"/>
          <w:i w:val="false"/>
          <w:iCs w:val="false"/>
        </w:rPr>
        <w:t>Spis map</w:t>
      </w:r>
      <w:bookmarkEnd w:id="303"/>
    </w:p>
    <w:p>
      <w:pPr>
        <w:pStyle w:val="Tableoffigures"/>
        <w:tabs>
          <w:tab w:val="clear" w:pos="720"/>
          <w:tab w:val="right" w:pos="9016" w:leader="dot"/>
        </w:tabs>
        <w:rPr>
          <w:rFonts w:eastAsia="" w:eastAsiaTheme="minorEastAsia"/>
          <w:sz w:val="20"/>
          <w:szCs w:val="20"/>
          <w:lang w:eastAsia="pl-PL"/>
        </w:rPr>
      </w:pPr>
      <w:r>
        <w:fldChar w:fldCharType="begin"/>
      </w:r>
      <w:r>
        <w:rPr>
          <w:rStyle w:val="Czeindeksu"/>
          <w:sz w:val="20"/>
          <w:szCs w:val="20"/>
          <w:rFonts w:cs="Calibri"/>
        </w:rPr>
        <w:instrText xml:space="preserve"> TOC \c "Mapa" </w:instrText>
      </w:r>
      <w:r>
        <w:rPr>
          <w:rStyle w:val="Czeindeksu"/>
          <w:sz w:val="20"/>
          <w:szCs w:val="20"/>
          <w:rFonts w:cs="Calibri"/>
        </w:rPr>
        <w:fldChar w:fldCharType="separate"/>
      </w:r>
      <w:hyperlink w:anchor="_Toc118887433">
        <w:r>
          <w:rPr>
            <w:rStyle w:val="Czeindeksu"/>
            <w:rFonts w:cs="Calibri" w:cstheme="minorHAnsi"/>
            <w:sz w:val="20"/>
            <w:szCs w:val="20"/>
          </w:rPr>
          <w:t>Mapa 1 Obszary chronione na ternie Gminy Dwikozy</w:t>
        </w:r>
        <w:r>
          <w:rPr>
            <w:webHidden/>
          </w:rPr>
          <w:fldChar w:fldCharType="begin"/>
        </w:r>
        <w:r>
          <w:rPr>
            <w:webHidden/>
          </w:rPr>
          <w:instrText xml:space="preserve">PAGEREF _Toc118887433 \h</w:instrText>
        </w:r>
        <w:r>
          <w:rPr>
            <w:webHidden/>
          </w:rPr>
          <w:fldChar w:fldCharType="separate"/>
        </w:r>
        <w:r>
          <w:rPr>
            <w:rStyle w:val="Czeindeksu"/>
            <w:vanish w:val="false"/>
            <w:sz w:val="20"/>
            <w:szCs w:val="20"/>
          </w:rPr>
          <w:tab/>
          <w:t>8</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4">
        <w:r>
          <w:rPr>
            <w:rStyle w:val="Czeindeksu"/>
            <w:rFonts w:eastAsia="Calibri" w:cs="Calibri" w:cstheme="minorHAnsi"/>
            <w:sz w:val="20"/>
            <w:szCs w:val="20"/>
          </w:rPr>
          <w:t>Mapa 2 Mapa łącznego zagrożenia suszą suma klas zagrożenia suszą rolniczą, hydrologiczną i hydrogeologiczna – ocena w siatce pól podstawowych</w:t>
        </w:r>
        <w:r>
          <w:rPr>
            <w:webHidden/>
          </w:rPr>
          <w:fldChar w:fldCharType="begin"/>
        </w:r>
        <w:r>
          <w:rPr>
            <w:webHidden/>
          </w:rPr>
          <w:instrText xml:space="preserve">PAGEREF _Toc118887434 \h</w:instrText>
        </w:r>
        <w:r>
          <w:rPr>
            <w:webHidden/>
          </w:rPr>
          <w:fldChar w:fldCharType="separate"/>
        </w:r>
        <w:r>
          <w:rPr>
            <w:rStyle w:val="Czeindeksu"/>
            <w:vanish w:val="false"/>
            <w:sz w:val="20"/>
            <w:szCs w:val="20"/>
          </w:rPr>
          <w:tab/>
          <w:t>23</w:t>
        </w:r>
        <w:r>
          <w:rPr>
            <w:webHidden/>
          </w:rPr>
          <w:fldChar w:fldCharType="end"/>
        </w:r>
      </w:hyperlink>
    </w:p>
    <w:p>
      <w:pPr>
        <w:pStyle w:val="Tableoffigures"/>
        <w:tabs>
          <w:tab w:val="clear" w:pos="720"/>
          <w:tab w:val="right" w:pos="9016" w:leader="dot"/>
        </w:tabs>
        <w:rPr>
          <w:rFonts w:eastAsia="" w:eastAsiaTheme="minorEastAsia"/>
          <w:lang w:eastAsia="pl-PL"/>
        </w:rPr>
      </w:pPr>
      <w:hyperlink w:anchor="_Toc118887435">
        <w:r>
          <w:rPr>
            <w:rStyle w:val="Czeindeksu"/>
            <w:rFonts w:cs="Calibri" w:cstheme="minorHAnsi"/>
            <w:sz w:val="20"/>
            <w:szCs w:val="20"/>
          </w:rPr>
          <w:t xml:space="preserve">Mapa 3 </w:t>
        </w:r>
        <w:r>
          <w:rPr>
            <w:rStyle w:val="Czeindeksu"/>
            <w:rFonts w:eastAsia="SimSun" w:cs="Calibri" w:cstheme="minorHAnsi"/>
            <w:sz w:val="20"/>
            <w:szCs w:val="20"/>
            <w:lang w:eastAsia="zh-CN"/>
          </w:rPr>
          <w:t>Położenie Gminy Dwikozy na tle województwa świętokrzyskiego i powiatu sandomierskiego</w:t>
        </w:r>
        <w:r>
          <w:rPr>
            <w:webHidden/>
          </w:rPr>
          <w:fldChar w:fldCharType="begin"/>
        </w:r>
        <w:r>
          <w:rPr>
            <w:webHidden/>
          </w:rPr>
          <w:instrText xml:space="preserve">PAGEREF _Toc118887435 \h</w:instrText>
        </w:r>
        <w:r>
          <w:rPr>
            <w:webHidden/>
          </w:rPr>
          <w:fldChar w:fldCharType="separate"/>
        </w:r>
        <w:r>
          <w:rPr>
            <w:rStyle w:val="Czeindeksu"/>
            <w:vanish w:val="false"/>
            <w:sz w:val="20"/>
            <w:szCs w:val="20"/>
          </w:rPr>
          <w:tab/>
          <w:t>30</w:t>
        </w:r>
        <w:r>
          <w:rPr>
            <w:webHidden/>
          </w:rPr>
          <w:fldChar w:fldCharType="end"/>
        </w:r>
      </w:hyperlink>
      <w:r>
        <w:rPr>
          <w:rStyle w:val="Czeindeksu"/>
          <w:sz w:val="20"/>
          <w:szCs w:val="20"/>
          <w:vanish w:val="false"/>
        </w:rPr>
        <w:fldChar w:fldCharType="end"/>
      </w:r>
    </w:p>
    <w:p>
      <w:pPr>
        <w:pStyle w:val="NoSpacing"/>
        <w:jc w:val="both"/>
        <w:rPr>
          <w:rFonts w:ascii="Calibri" w:hAnsi="Calibri" w:cs="Calibri" w:asciiTheme="minorHAnsi" w:cstheme="minorHAnsi" w:hAnsiTheme="minorHAnsi"/>
          <w:highlight w:val="yellow"/>
        </w:rPr>
      </w:pPr>
      <w:r>
        <w:rPr>
          <w:rFonts w:cs="Calibri" w:cstheme="minorHAnsi"/>
          <w:highlight w:val="yellow"/>
        </w:rPr>
      </w:r>
    </w:p>
    <w:p>
      <w:pPr>
        <w:pStyle w:val="Nagwek2"/>
        <w:spacing w:lineRule="auto" w:line="240" w:before="0" w:after="0"/>
        <w:jc w:val="both"/>
        <w:rPr>
          <w:rFonts w:ascii="Calibri" w:hAnsi="Calibri" w:cs="Calibri" w:asciiTheme="minorHAnsi" w:cstheme="minorHAnsi" w:hAnsiTheme="minorHAnsi"/>
          <w:i w:val="false"/>
          <w:i w:val="false"/>
          <w:iCs w:val="false"/>
        </w:rPr>
      </w:pPr>
      <w:bookmarkStart w:id="304" w:name="_Toc118887479"/>
      <w:r>
        <w:rPr>
          <w:rFonts w:cs="Calibri" w:ascii="Calibri" w:hAnsi="Calibri" w:asciiTheme="minorHAnsi" w:cstheme="minorHAnsi" w:hAnsiTheme="minorHAnsi"/>
          <w:i w:val="false"/>
          <w:iCs w:val="false"/>
        </w:rPr>
        <w:t>Spis zdjęć</w:t>
      </w:r>
      <w:bookmarkEnd w:id="304"/>
    </w:p>
    <w:p>
      <w:pPr>
        <w:pStyle w:val="Tableoffigures"/>
        <w:tabs>
          <w:tab w:val="clear" w:pos="720"/>
          <w:tab w:val="right" w:pos="9016" w:leader="dot"/>
        </w:tabs>
        <w:rPr>
          <w:rFonts w:eastAsia="" w:eastAsiaTheme="minorEastAsia"/>
          <w:sz w:val="20"/>
          <w:szCs w:val="20"/>
          <w:lang w:eastAsia="pl-PL"/>
        </w:rPr>
      </w:pPr>
      <w:r>
        <w:fldChar w:fldCharType="begin"/>
      </w:r>
      <w:r>
        <w:rPr>
          <w:rStyle w:val="Czeindeksu"/>
          <w:sz w:val="20"/>
          <w:szCs w:val="20"/>
          <w:rFonts w:cs="Calibri"/>
        </w:rPr>
        <w:instrText xml:space="preserve"> TOC \c "Zdjęcie" </w:instrText>
      </w:r>
      <w:r>
        <w:rPr>
          <w:rStyle w:val="Czeindeksu"/>
          <w:sz w:val="20"/>
          <w:szCs w:val="20"/>
          <w:rFonts w:cs="Calibri"/>
        </w:rPr>
        <w:fldChar w:fldCharType="separate"/>
      </w:r>
      <w:hyperlink w:anchor="_Toc118887436">
        <w:r>
          <w:rPr>
            <w:rStyle w:val="Czeindeksu"/>
            <w:rFonts w:cs="Calibri" w:cstheme="minorHAnsi"/>
            <w:sz w:val="20"/>
            <w:szCs w:val="20"/>
          </w:rPr>
          <w:t>Zdjęcie 1 Kościół parafialny pod wezwaniem Matki Boskiej Bolesnej i św. Wita Męczennika w Górach Wysokich</w:t>
        </w:r>
        <w:r>
          <w:rPr>
            <w:webHidden/>
          </w:rPr>
          <w:fldChar w:fldCharType="begin"/>
        </w:r>
        <w:r>
          <w:rPr>
            <w:webHidden/>
          </w:rPr>
          <w:instrText xml:space="preserve">PAGEREF _Toc118887436 \h</w:instrText>
        </w:r>
        <w:r>
          <w:rPr>
            <w:webHidden/>
          </w:rPr>
          <w:fldChar w:fldCharType="separate"/>
        </w:r>
        <w:r>
          <w:rPr>
            <w:rStyle w:val="Czeindeksu"/>
            <w:vanish w:val="false"/>
            <w:sz w:val="20"/>
            <w:szCs w:val="20"/>
          </w:rPr>
          <w:tab/>
          <w:t>4</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7">
        <w:r>
          <w:rPr>
            <w:rStyle w:val="Czeindeksu"/>
            <w:rFonts w:cs="Calibri" w:cstheme="minorHAnsi"/>
            <w:sz w:val="20"/>
            <w:szCs w:val="20"/>
          </w:rPr>
          <w:t>Zdjęcie 2 Baszta - kaplica pw. św. Rocha i Jacka w Nowych Kicharach</w:t>
        </w:r>
        <w:r>
          <w:rPr>
            <w:webHidden/>
          </w:rPr>
          <w:fldChar w:fldCharType="begin"/>
        </w:r>
        <w:r>
          <w:rPr>
            <w:webHidden/>
          </w:rPr>
          <w:instrText xml:space="preserve">PAGEREF _Toc118887437 \h</w:instrText>
        </w:r>
        <w:r>
          <w:rPr>
            <w:webHidden/>
          </w:rPr>
          <w:fldChar w:fldCharType="separate"/>
        </w:r>
        <w:r>
          <w:rPr>
            <w:rStyle w:val="Czeindeksu"/>
            <w:vanish w:val="false"/>
            <w:sz w:val="20"/>
            <w:szCs w:val="20"/>
          </w:rPr>
          <w:tab/>
          <w:t>5</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8">
        <w:r>
          <w:rPr>
            <w:rStyle w:val="Czeindeksu"/>
            <w:rFonts w:cs="Calibri" w:cstheme="minorHAnsi"/>
            <w:sz w:val="20"/>
            <w:szCs w:val="20"/>
          </w:rPr>
          <w:t>Zdjęcie 3 Wotywny krzyż</w:t>
        </w:r>
        <w:r>
          <w:rPr>
            <w:webHidden/>
          </w:rPr>
          <w:fldChar w:fldCharType="begin"/>
        </w:r>
        <w:r>
          <w:rPr>
            <w:webHidden/>
          </w:rPr>
          <w:instrText xml:space="preserve">PAGEREF _Toc118887438 \h</w:instrText>
        </w:r>
        <w:r>
          <w:rPr>
            <w:webHidden/>
          </w:rPr>
          <w:fldChar w:fldCharType="separate"/>
        </w:r>
        <w:r>
          <w:rPr>
            <w:rStyle w:val="Czeindeksu"/>
            <w:vanish w:val="false"/>
            <w:sz w:val="20"/>
            <w:szCs w:val="20"/>
          </w:rPr>
          <w:tab/>
          <w:t>5</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39">
        <w:r>
          <w:rPr>
            <w:rStyle w:val="Czeindeksu"/>
            <w:rFonts w:cs="Calibri" w:cstheme="minorHAnsi"/>
            <w:sz w:val="20"/>
            <w:szCs w:val="20"/>
          </w:rPr>
          <w:t>Zdjęcie 4 Góry Pieprzowe</w:t>
        </w:r>
        <w:r>
          <w:rPr>
            <w:webHidden/>
          </w:rPr>
          <w:fldChar w:fldCharType="begin"/>
        </w:r>
        <w:r>
          <w:rPr>
            <w:webHidden/>
          </w:rPr>
          <w:instrText xml:space="preserve">PAGEREF _Toc118887439 \h</w:instrText>
        </w:r>
        <w:r>
          <w:rPr>
            <w:webHidden/>
          </w:rPr>
          <w:fldChar w:fldCharType="separate"/>
        </w:r>
        <w:r>
          <w:rPr>
            <w:rStyle w:val="Czeindeksu"/>
            <w:vanish w:val="false"/>
            <w:sz w:val="20"/>
            <w:szCs w:val="20"/>
          </w:rPr>
          <w:tab/>
          <w:t>7</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40">
        <w:r>
          <w:rPr>
            <w:rStyle w:val="Czeindeksu"/>
            <w:rFonts w:cs="Calibri" w:cstheme="minorHAnsi"/>
            <w:sz w:val="20"/>
            <w:szCs w:val="20"/>
          </w:rPr>
          <w:t>Zdjęcie 5 Pomnik Zawiszy Czarnego</w:t>
        </w:r>
        <w:r>
          <w:rPr>
            <w:webHidden/>
          </w:rPr>
          <w:fldChar w:fldCharType="begin"/>
        </w:r>
        <w:r>
          <w:rPr>
            <w:webHidden/>
          </w:rPr>
          <w:instrText xml:space="preserve">PAGEREF _Toc118887440 \h</w:instrText>
        </w:r>
        <w:r>
          <w:rPr>
            <w:webHidden/>
          </w:rPr>
          <w:fldChar w:fldCharType="separate"/>
        </w:r>
        <w:r>
          <w:rPr>
            <w:rStyle w:val="Czeindeksu"/>
            <w:vanish w:val="false"/>
            <w:sz w:val="20"/>
            <w:szCs w:val="20"/>
          </w:rPr>
          <w:tab/>
          <w:t>26</w:t>
        </w:r>
        <w:r>
          <w:rPr>
            <w:webHidden/>
          </w:rPr>
          <w:fldChar w:fldCharType="end"/>
        </w:r>
      </w:hyperlink>
    </w:p>
    <w:p>
      <w:pPr>
        <w:pStyle w:val="Tableoffigures"/>
        <w:tabs>
          <w:tab w:val="clear" w:pos="720"/>
          <w:tab w:val="left" w:pos="4205" w:leader="none"/>
          <w:tab w:val="right" w:pos="9016" w:leader="dot"/>
        </w:tabs>
        <w:rPr>
          <w:rFonts w:eastAsia="" w:eastAsiaTheme="minorEastAsia"/>
          <w:sz w:val="20"/>
          <w:szCs w:val="20"/>
          <w:lang w:eastAsia="pl-PL"/>
        </w:rPr>
      </w:pPr>
      <w:hyperlink w:anchor="_Toc118887441">
        <w:r>
          <w:rPr>
            <w:rStyle w:val="Czeindeksu"/>
            <w:rFonts w:cs="Calibri" w:cstheme="minorHAnsi"/>
            <w:sz w:val="20"/>
            <w:szCs w:val="20"/>
          </w:rPr>
          <w:t>Zdjęcie 6 Latarnia chocimska w Gierlachowie</w:t>
        </w:r>
        <w:r>
          <w:rPr>
            <w:rStyle w:val="Czeindeksu"/>
            <w:rFonts w:eastAsia="" w:eastAsiaTheme="minorEastAsia"/>
            <w:sz w:val="20"/>
            <w:szCs w:val="20"/>
            <w:lang w:eastAsia="pl-PL"/>
          </w:rPr>
          <w:tab/>
        </w:r>
        <w:r>
          <w:rPr>
            <w:rStyle w:val="Czeindeksu"/>
            <w:rFonts w:cs="Calibri" w:cstheme="minorHAnsi"/>
            <w:sz w:val="20"/>
            <w:szCs w:val="20"/>
          </w:rPr>
          <w:t>Zdjęcie 7 Latarnia chocimska w Nowym Garbowie</w:t>
        </w:r>
        <w:r>
          <w:rPr>
            <w:webHidden/>
          </w:rPr>
          <w:fldChar w:fldCharType="begin"/>
        </w:r>
        <w:r>
          <w:rPr>
            <w:webHidden/>
          </w:rPr>
          <w:instrText xml:space="preserve">PAGEREF _Toc118887441 \h</w:instrText>
        </w:r>
        <w:r>
          <w:rPr>
            <w:webHidden/>
          </w:rPr>
          <w:fldChar w:fldCharType="separate"/>
        </w:r>
        <w:r>
          <w:rPr>
            <w:rStyle w:val="Czeindeksu"/>
            <w:vanish w:val="false"/>
            <w:sz w:val="20"/>
            <w:szCs w:val="20"/>
          </w:rPr>
          <w:tab/>
          <w:t>27</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42">
        <w:r>
          <w:rPr>
            <w:rStyle w:val="Czeindeksu"/>
            <w:rFonts w:cs="Calibri" w:cstheme="minorHAnsi"/>
            <w:sz w:val="20"/>
            <w:szCs w:val="20"/>
          </w:rPr>
          <w:t>Zdjęcie 8 Restauracja „Dwór Dwikozy”</w:t>
        </w:r>
        <w:r>
          <w:rPr>
            <w:webHidden/>
          </w:rPr>
          <w:fldChar w:fldCharType="begin"/>
        </w:r>
        <w:r>
          <w:rPr>
            <w:webHidden/>
          </w:rPr>
          <w:instrText xml:space="preserve">PAGEREF _Toc118887442 \h</w:instrText>
        </w:r>
        <w:r>
          <w:rPr>
            <w:webHidden/>
          </w:rPr>
          <w:fldChar w:fldCharType="separate"/>
        </w:r>
        <w:r>
          <w:rPr>
            <w:rStyle w:val="Czeindeksu"/>
            <w:vanish w:val="false"/>
            <w:sz w:val="20"/>
            <w:szCs w:val="20"/>
          </w:rPr>
          <w:tab/>
          <w:t>28</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43">
        <w:r>
          <w:rPr>
            <w:rStyle w:val="Czeindeksu"/>
            <w:rFonts w:cs="Calibri" w:cstheme="minorHAnsi"/>
            <w:sz w:val="20"/>
            <w:szCs w:val="20"/>
          </w:rPr>
          <w:t>Zdjęcie 9 Kompleks sportowy Moje Boisko – Orlik 2012</w:t>
        </w:r>
        <w:r>
          <w:rPr>
            <w:webHidden/>
          </w:rPr>
          <w:fldChar w:fldCharType="begin"/>
        </w:r>
        <w:r>
          <w:rPr>
            <w:webHidden/>
          </w:rPr>
          <w:instrText xml:space="preserve">PAGEREF _Toc118887443 \h</w:instrText>
        </w:r>
        <w:r>
          <w:rPr>
            <w:webHidden/>
          </w:rPr>
          <w:fldChar w:fldCharType="separate"/>
        </w:r>
        <w:r>
          <w:rPr>
            <w:rStyle w:val="Czeindeksu"/>
            <w:vanish w:val="false"/>
            <w:sz w:val="20"/>
            <w:szCs w:val="20"/>
          </w:rPr>
          <w:tab/>
          <w:t>38</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44">
        <w:r>
          <w:rPr>
            <w:rStyle w:val="Czeindeksu"/>
            <w:rFonts w:cs="Calibri" w:cstheme="minorHAnsi"/>
            <w:sz w:val="20"/>
            <w:szCs w:val="20"/>
          </w:rPr>
          <w:t>Zdjęcie 10 Budynek szkoły w Dwikozach</w:t>
        </w:r>
        <w:r>
          <w:rPr>
            <w:webHidden/>
          </w:rPr>
          <w:fldChar w:fldCharType="begin"/>
        </w:r>
        <w:r>
          <w:rPr>
            <w:webHidden/>
          </w:rPr>
          <w:instrText xml:space="preserve">PAGEREF _Toc118887444 \h</w:instrText>
        </w:r>
        <w:r>
          <w:rPr>
            <w:webHidden/>
          </w:rPr>
          <w:fldChar w:fldCharType="separate"/>
        </w:r>
        <w:r>
          <w:rPr>
            <w:rStyle w:val="Czeindeksu"/>
            <w:vanish w:val="false"/>
            <w:sz w:val="20"/>
            <w:szCs w:val="20"/>
          </w:rPr>
          <w:tab/>
          <w:t>53</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45">
        <w:r>
          <w:rPr>
            <w:rStyle w:val="Czeindeksu"/>
            <w:rFonts w:cs="Calibri" w:cstheme="minorHAnsi"/>
            <w:sz w:val="20"/>
            <w:szCs w:val="20"/>
          </w:rPr>
          <w:t>Zdjęcie 11 Budynek szkoły w Słupczy z 1978r.</w:t>
        </w:r>
        <w:r>
          <w:rPr>
            <w:webHidden/>
          </w:rPr>
          <w:fldChar w:fldCharType="begin"/>
        </w:r>
        <w:r>
          <w:rPr>
            <w:webHidden/>
          </w:rPr>
          <w:instrText xml:space="preserve">PAGEREF _Toc118887445 \h</w:instrText>
        </w:r>
        <w:r>
          <w:rPr>
            <w:webHidden/>
          </w:rPr>
          <w:fldChar w:fldCharType="separate"/>
        </w:r>
        <w:r>
          <w:rPr>
            <w:rStyle w:val="Czeindeksu"/>
            <w:vanish w:val="false"/>
            <w:sz w:val="20"/>
            <w:szCs w:val="20"/>
          </w:rPr>
          <w:tab/>
          <w:t>55</w:t>
        </w:r>
        <w:r>
          <w:rPr>
            <w:webHidden/>
          </w:rPr>
          <w:fldChar w:fldCharType="end"/>
        </w:r>
      </w:hyperlink>
    </w:p>
    <w:p>
      <w:pPr>
        <w:pStyle w:val="Tableoffigures"/>
        <w:tabs>
          <w:tab w:val="clear" w:pos="720"/>
          <w:tab w:val="right" w:pos="9016" w:leader="dot"/>
        </w:tabs>
        <w:rPr>
          <w:rFonts w:eastAsia="" w:eastAsiaTheme="minorEastAsia"/>
          <w:sz w:val="20"/>
          <w:szCs w:val="20"/>
          <w:lang w:eastAsia="pl-PL"/>
        </w:rPr>
      </w:pPr>
      <w:hyperlink w:anchor="_Toc118887446">
        <w:r>
          <w:rPr>
            <w:rStyle w:val="Czeindeksu"/>
            <w:rFonts w:cs="Calibri" w:cstheme="minorHAnsi"/>
            <w:sz w:val="20"/>
            <w:szCs w:val="20"/>
          </w:rPr>
          <w:t>Zdjęcie 12 Szkoła Podstawowa  im. Wincentego Burka w Gałkowicach</w:t>
        </w:r>
        <w:r>
          <w:rPr>
            <w:webHidden/>
          </w:rPr>
          <w:fldChar w:fldCharType="begin"/>
        </w:r>
        <w:r>
          <w:rPr>
            <w:webHidden/>
          </w:rPr>
          <w:instrText xml:space="preserve">PAGEREF _Toc118887446 \h</w:instrText>
        </w:r>
        <w:r>
          <w:rPr>
            <w:webHidden/>
          </w:rPr>
          <w:fldChar w:fldCharType="separate"/>
        </w:r>
        <w:r>
          <w:rPr>
            <w:rStyle w:val="Czeindeksu"/>
            <w:vanish w:val="false"/>
            <w:sz w:val="20"/>
            <w:szCs w:val="20"/>
          </w:rPr>
          <w:tab/>
          <w:t>57</w:t>
        </w:r>
        <w:r>
          <w:rPr>
            <w:webHidden/>
          </w:rPr>
          <w:fldChar w:fldCharType="end"/>
        </w:r>
      </w:hyperlink>
    </w:p>
    <w:p>
      <w:pPr>
        <w:pStyle w:val="Tableoffigures"/>
        <w:tabs>
          <w:tab w:val="clear" w:pos="720"/>
          <w:tab w:val="right" w:pos="9016" w:leader="dot"/>
        </w:tabs>
        <w:rPr>
          <w:rFonts w:eastAsia="" w:eastAsiaTheme="minorEastAsia"/>
          <w:lang w:eastAsia="pl-PL"/>
        </w:rPr>
      </w:pPr>
      <w:hyperlink w:anchor="_Toc118887447">
        <w:r>
          <w:rPr>
            <w:rStyle w:val="Czeindeksu"/>
            <w:rFonts w:cs="Calibri" w:cstheme="minorHAnsi"/>
            <w:sz w:val="20"/>
            <w:szCs w:val="20"/>
          </w:rPr>
          <w:t>Zdjęcie 13 Szkoła Podstawowa w Winiarach 2021r.</w:t>
        </w:r>
        <w:r>
          <w:rPr>
            <w:webHidden/>
          </w:rPr>
          <w:fldChar w:fldCharType="begin"/>
        </w:r>
        <w:r>
          <w:rPr>
            <w:webHidden/>
          </w:rPr>
          <w:instrText xml:space="preserve">PAGEREF _Toc118887447 \h</w:instrText>
        </w:r>
        <w:r>
          <w:rPr>
            <w:webHidden/>
          </w:rPr>
          <w:fldChar w:fldCharType="separate"/>
        </w:r>
        <w:r>
          <w:rPr>
            <w:rStyle w:val="Czeindeksu"/>
            <w:vanish w:val="false"/>
            <w:sz w:val="20"/>
            <w:szCs w:val="20"/>
          </w:rPr>
          <w:tab/>
          <w:t>58</w:t>
        </w:r>
        <w:r>
          <w:rPr>
            <w:webHidden/>
          </w:rPr>
          <w:fldChar w:fldCharType="end"/>
        </w:r>
      </w:hyperlink>
      <w:r>
        <w:rPr>
          <w:rStyle w:val="Czeindeksu"/>
          <w:sz w:val="20"/>
          <w:szCs w:val="20"/>
          <w:vanish w:val="false"/>
        </w:rPr>
        <w:fldChar w:fldCharType="end"/>
      </w:r>
    </w:p>
    <w:p>
      <w:pPr>
        <w:pStyle w:val="Tableoffigures"/>
        <w:tabs>
          <w:tab w:val="clear" w:pos="720"/>
          <w:tab w:val="right" w:pos="9016" w:leader="dot"/>
        </w:tabs>
        <w:spacing w:lineRule="auto" w:line="240"/>
        <w:rPr>
          <w:rFonts w:cs="Calibri" w:cstheme="minorHAnsi"/>
        </w:rPr>
      </w:pPr>
      <w:r>
        <w:rPr/>
      </w:r>
    </w:p>
    <w:sectPr>
      <w:headerReference w:type="default" r:id="rId40"/>
      <w:footerReference w:type="default" r:id="rId41"/>
      <w:footnotePr>
        <w:numFmt w:val="decimal"/>
      </w:footnotePr>
      <w:type w:val="nextPage"/>
      <w:pgSz w:w="11906" w:h="16838"/>
      <w:pgMar w:left="1440" w:right="1440" w:gutter="0" w:header="706" w:top="1440" w:footer="706"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01"/>
    <w:family w:val="roman"/>
    <w:pitch w:val="default"/>
  </w:font>
  <w:font w:name="Calibri Light">
    <w:charset w:val="01"/>
    <w:family w:val="roman"/>
    <w:pitch w:val="default"/>
  </w:font>
  <w:font w:name="Tahoma">
    <w:charset w:val="01"/>
    <w:family w:val="roman"/>
    <w:pitch w:val="default"/>
  </w:font>
  <w:font w:name="Times New Roman">
    <w:charset w:val="01"/>
    <w:family w:val="roman"/>
    <w:pitch w:val="default"/>
  </w:font>
  <w:font w:name="Georgia">
    <w:charset w:val="01"/>
    <w:family w:val="roman"/>
    <w:pitch w:val="default"/>
  </w:font>
  <w:font w:name="Trebuchet MS">
    <w:charset w:val="01"/>
    <w:family w:val="roman"/>
    <w:pitch w:val="default"/>
  </w:font>
  <w:font w:name="Arial">
    <w:charset w:val="01"/>
    <w:family w:val="roman"/>
    <w:pitch w:val="default"/>
  </w:font>
  <w:font w:name="Wingdings">
    <w:charset w:val="02"/>
    <w:family w:val="roman"/>
    <w:pitch w:val="default"/>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32853406"/>
    </w:sdtPr>
    <w:sdtContent>
      <w:p>
        <w:pPr>
          <w:pStyle w:val="Stopka"/>
          <w:spacing w:before="0" w:after="160"/>
          <w:jc w:val="right"/>
          <w:rPr/>
        </w:pPr>
        <w:r>
          <w:rPr/>
          <w:fldChar w:fldCharType="begin"/>
        </w:r>
        <w:r>
          <w:rPr/>
          <w:instrText xml:space="preserve"> PAGE </w:instrText>
        </w:r>
        <w:r>
          <w:rPr/>
          <w:fldChar w:fldCharType="separate"/>
        </w:r>
        <w:r>
          <w:rPr/>
          <w:t>18</w:t>
        </w:r>
        <w:r>
          <w:rPr/>
          <w:fldChar w:fldCharType="end"/>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35456299"/>
    </w:sdtPr>
    <w:sdtContent>
      <w:p>
        <w:pPr>
          <w:pStyle w:val="Stopka"/>
          <w:spacing w:before="0" w:after="160"/>
          <w:jc w:val="right"/>
          <w:rPr/>
        </w:pPr>
        <w:r>
          <w:rPr/>
          <w:fldChar w:fldCharType="begin"/>
        </w:r>
        <w:r>
          <w:rPr/>
          <w:instrText xml:space="preserve"> PAGE </w:instrText>
        </w:r>
        <w:r>
          <w:rPr/>
          <w:fldChar w:fldCharType="separate"/>
        </w:r>
        <w:r>
          <w:rPr/>
          <w:t>22</w:t>
        </w:r>
        <w:r>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0031992"/>
    </w:sdtPr>
    <w:sdtContent>
      <w:p>
        <w:pPr>
          <w:pStyle w:val="Stopka"/>
          <w:spacing w:before="0" w:after="160"/>
          <w:jc w:val="right"/>
          <w:rPr/>
        </w:pPr>
        <w:r>
          <w:rPr/>
          <w:fldChar w:fldCharType="begin"/>
        </w:r>
        <w:r>
          <w:rPr/>
          <w:instrText xml:space="preserve"> PAGE </w:instrText>
        </w:r>
        <w:r>
          <w:rPr/>
          <w:fldChar w:fldCharType="separate"/>
        </w:r>
        <w:r>
          <w:rPr/>
          <w:t>86</w:t>
        </w:r>
        <w:r>
          <w:rP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Przypisdolny"/>
        <w:spacing w:before="0" w:after="160"/>
        <w:rPr/>
      </w:pPr>
      <w:r>
        <w:rPr>
          <w:rStyle w:val="Znakiprzypiswdolnych"/>
        </w:rPr>
        <w:footnoteRef/>
      </w:r>
      <w:r>
        <w:rPr/>
        <w:t xml:space="preserve"> </w:t>
      </w:r>
      <w:r>
        <w:rPr/>
        <w:t>https://dwikozy.gmina.pl/135-historia.html</w:t>
      </w:r>
    </w:p>
  </w:footnote>
  <w:footnote w:id="3">
    <w:p>
      <w:pPr>
        <w:pStyle w:val="Przypisdolny"/>
        <w:spacing w:before="0" w:after="160"/>
        <w:rPr/>
      </w:pPr>
      <w:r>
        <w:rPr>
          <w:rStyle w:val="Znakiprzypiswdolnych"/>
        </w:rPr>
        <w:footnoteRef/>
      </w:r>
      <w:r>
        <w:rPr/>
        <w:t xml:space="preserve"> </w:t>
      </w:r>
      <w:r>
        <w:rPr/>
        <w:t>Dalej także będzie używany skrót GIOŚ (Główny Inspektor Ochrony Środowiska)</w:t>
      </w:r>
    </w:p>
  </w:footnote>
  <w:footnote w:id="4">
    <w:p>
      <w:pPr>
        <w:pStyle w:val="NoSpacing"/>
        <w:jc w:val="both"/>
        <w:rPr>
          <w:sz w:val="20"/>
          <w:szCs w:val="20"/>
        </w:rPr>
      </w:pPr>
      <w:r>
        <w:rPr>
          <w:rStyle w:val="Znakiprzypiswdolnych"/>
        </w:rPr>
        <w:footnoteRef/>
      </w:r>
      <w:r>
        <w:rPr>
          <w:sz w:val="20"/>
          <w:szCs w:val="20"/>
        </w:rPr>
        <w:t xml:space="preserve"> </w:t>
      </w:r>
      <w:r>
        <w:rPr>
          <w:sz w:val="20"/>
          <w:szCs w:val="20"/>
        </w:rPr>
        <w:t>Zgodnie z załącznikiem do rozporządzenia Komisji (UE) 2015/1189 z dnia 28 kwietnia 2015 r. w sprawie wykonania dyrektywy Parlamentu Europejskiego i Rady 2009/125/WE w odniesieniu do wymogów dotyczących ekoprojektu dla kotłów na paliwo stałe</w:t>
      </w:r>
    </w:p>
  </w:footnote>
  <w:footnote w:id="5">
    <w:p>
      <w:pPr>
        <w:pStyle w:val="NoSpacing"/>
        <w:jc w:val="both"/>
        <w:rPr>
          <w:sz w:val="20"/>
          <w:szCs w:val="20"/>
        </w:rPr>
      </w:pPr>
      <w:r>
        <w:rPr>
          <w:rStyle w:val="Znakiprzypiswdolnych"/>
        </w:rPr>
        <w:footnoteRef/>
      </w:r>
      <w:r>
        <w:rPr>
          <w:sz w:val="20"/>
          <w:szCs w:val="20"/>
        </w:rPr>
        <w:t xml:space="preserve"> </w:t>
      </w:r>
      <w:r>
        <w:rPr>
          <w:sz w:val="20"/>
          <w:szCs w:val="20"/>
        </w:rPr>
        <w:t xml:space="preserve">Zgodnie z Rozporządzeniem Ministra Środowiska z dnia 8 czerwca 2018 r. </w:t>
      </w:r>
      <w:r>
        <w:rPr>
          <w:i/>
          <w:iCs/>
          <w:sz w:val="20"/>
          <w:szCs w:val="20"/>
        </w:rPr>
        <w:t>w sprawie dokonywania oceny poziomów substancji w powietrzu</w:t>
      </w:r>
    </w:p>
  </w:footnote>
  <w:footnote w:id="6">
    <w:p>
      <w:pPr>
        <w:pStyle w:val="NoSpacing"/>
        <w:jc w:val="both"/>
        <w:rPr>
          <w:sz w:val="20"/>
          <w:szCs w:val="20"/>
        </w:rPr>
      </w:pPr>
      <w:r>
        <w:rPr>
          <w:rStyle w:val="Znakiprzypiswdolnych"/>
        </w:rPr>
        <w:footnoteRef/>
      </w:r>
      <w:r>
        <w:rPr>
          <w:sz w:val="20"/>
          <w:szCs w:val="20"/>
        </w:rPr>
        <w:t xml:space="preserve"> </w:t>
      </w:r>
      <w:r>
        <w:rPr>
          <w:sz w:val="20"/>
          <w:szCs w:val="20"/>
        </w:rPr>
        <w:t xml:space="preserve">Rozporządzenie Ministra Środowiska z dnia 24 sierpnia 2012 r. </w:t>
      </w:r>
      <w:r>
        <w:rPr>
          <w:i/>
          <w:iCs/>
          <w:sz w:val="20"/>
          <w:szCs w:val="20"/>
        </w:rPr>
        <w:t>w sprawie poziomów niektórych substancji</w:t>
        <w:br/>
        <w:t>w powietrzu</w:t>
      </w:r>
    </w:p>
  </w:footnote>
  <w:footnote w:id="7">
    <w:p>
      <w:pPr>
        <w:pStyle w:val="NoSpacing"/>
        <w:jc w:val="both"/>
        <w:rPr/>
      </w:pPr>
      <w:r>
        <w:rPr>
          <w:rStyle w:val="Znakiprzypiswdolnych"/>
        </w:rPr>
        <w:footnoteRef/>
      </w:r>
      <w:r>
        <w:rPr>
          <w:sz w:val="20"/>
          <w:szCs w:val="20"/>
        </w:rPr>
        <w:t xml:space="preserve"> </w:t>
      </w:r>
      <w:r>
        <w:rPr>
          <w:sz w:val="20"/>
          <w:szCs w:val="20"/>
        </w:rPr>
        <w:t>2008/50/WE i 2004/107/WE</w:t>
      </w:r>
    </w:p>
  </w:footnote>
  <w:footnote w:id="8">
    <w:p>
      <w:pPr>
        <w:pStyle w:val="Przypisdolny"/>
        <w:spacing w:before="0" w:after="160"/>
        <w:jc w:val="both"/>
        <w:rPr/>
      </w:pPr>
      <w:r>
        <w:rPr>
          <w:rStyle w:val="Znakiprzypiswdolnych"/>
        </w:rPr>
        <w:footnoteRef/>
      </w:r>
      <w:r>
        <w:rPr/>
        <w:t xml:space="preserve"> </w:t>
      </w:r>
      <w:r>
        <w:rPr/>
        <w:t>Z</w:t>
      </w:r>
      <w:r>
        <w:rPr>
          <w:rFonts w:cs="Calibri" w:cstheme="minorHAnsi"/>
        </w:rPr>
        <w:t xml:space="preserve"> uwzględnieniem dozwolonej liczby przypadków przekroczeń poziomu dopuszczalnego, określonej dla niektórych zanieczyszczeń</w:t>
      </w:r>
    </w:p>
  </w:footnote>
  <w:footnote w:id="9">
    <w:p>
      <w:pPr>
        <w:pStyle w:val="Przypisdolny"/>
        <w:spacing w:before="0" w:after="160"/>
        <w:rPr/>
      </w:pPr>
      <w:r>
        <w:rPr>
          <w:rStyle w:val="Znakiprzypiswdolnych"/>
        </w:rPr>
        <w:footnoteRef/>
      </w:r>
      <w:r>
        <w:rPr/>
        <w:t xml:space="preserve"> </w:t>
      </w:r>
      <w:r>
        <w:rPr>
          <w:rFonts w:cs="Calibri" w:cstheme="minorHAnsi"/>
        </w:rPr>
        <w:t>Dozwolone przypadki przekroczeń poziomu dopuszczalnego odnoszą się także do jego wartości powiększonej o margines tolerancji.</w:t>
      </w:r>
    </w:p>
  </w:footnote>
  <w:footnote w:id="10">
    <w:p>
      <w:pPr>
        <w:pStyle w:val="Przypisdolny"/>
        <w:spacing w:before="0" w:after="160"/>
        <w:rPr/>
      </w:pPr>
      <w:r>
        <w:rPr>
          <w:rStyle w:val="Znakiprzypiswdolnych"/>
        </w:rPr>
        <w:footnoteRef/>
      </w:r>
      <w:r>
        <w:rPr/>
        <w:t xml:space="preserve"> </w:t>
      </w:r>
      <w:r>
        <w:rPr>
          <w:rFonts w:cs="Calibri" w:cstheme="minorHAnsi"/>
        </w:rPr>
        <w:t>Z uwzględnieniem dozwolonej liczby przypadków przekroczeń, określonej w odniesieniu do ozonu.</w:t>
      </w:r>
    </w:p>
  </w:footnote>
  <w:footnote w:id="11">
    <w:p>
      <w:pPr>
        <w:pStyle w:val="Przypisdolny"/>
        <w:spacing w:before="0" w:after="160"/>
        <w:jc w:val="both"/>
        <w:rPr/>
      </w:pPr>
      <w:r>
        <w:rPr>
          <w:rStyle w:val="Znakiprzypiswdolnych"/>
        </w:rPr>
        <w:footnoteRef/>
      </w:r>
      <w:r>
        <w:rPr/>
        <w:t xml:space="preserve"> </w:t>
      </w:r>
      <w:r>
        <w:rPr>
          <w:rFonts w:eastAsia="Arimo" w:cs="Calibri" w:cstheme="minorHAnsi"/>
        </w:rPr>
        <w:t>Liczba stref w Polsce podlegających ocenie jakości powietrza za rok 2020 wynosiła 45, wśród których było 12 aglomeracji, 17 miast o liczbie mieszkańców powyżej 100 tysięcy (nie będących aglomeracją) oraz 16 stref – pozostałych obszarów województw. Ocena jakości powietrza pod kątem ochrony zdrowia ludzi za 2020 rok prowadzona była w każdej z 45 stref. W ocenach pod kątem ochrony roślin uwzględniono 16 stref – ocenie tej nie podlegają strefy - aglomeracje o liczbie mieszkańców powyżej 250 tys. i strefy - miasta o liczbie mieszkańców powyżej 100 tys.</w:t>
      </w:r>
    </w:p>
  </w:footnote>
  <w:footnote w:id="12">
    <w:p>
      <w:pPr>
        <w:pStyle w:val="NoSpacing"/>
        <w:jc w:val="both"/>
        <w:rPr>
          <w:sz w:val="20"/>
          <w:szCs w:val="20"/>
        </w:rPr>
      </w:pPr>
      <w:r>
        <w:rPr>
          <w:rStyle w:val="Znakiprzypiswdolnych"/>
        </w:rPr>
        <w:footnoteRef/>
      </w:r>
      <w:r>
        <w:rPr>
          <w:sz w:val="20"/>
          <w:szCs w:val="20"/>
        </w:rPr>
        <w:t xml:space="preserve"> </w:t>
      </w:r>
      <w:r>
        <w:rPr>
          <w:sz w:val="20"/>
          <w:szCs w:val="20"/>
        </w:rPr>
        <w:t>Zgodnie z uchwałą Nr XXII/291/20 Sejmiku Województwa Świętokrzyskiego z dnia 29 czerwca 2020r.</w:t>
      </w:r>
    </w:p>
  </w:footnote>
  <w:footnote w:id="13">
    <w:p>
      <w:pPr>
        <w:pStyle w:val="NoSpacing"/>
        <w:jc w:val="both"/>
        <w:rPr>
          <w:sz w:val="20"/>
          <w:szCs w:val="20"/>
        </w:rPr>
      </w:pPr>
      <w:r>
        <w:rPr>
          <w:rStyle w:val="Znakiprzypiswdolnych"/>
        </w:rPr>
        <w:footnoteRef/>
      </w:r>
      <w:r>
        <w:rPr>
          <w:sz w:val="20"/>
          <w:szCs w:val="20"/>
        </w:rPr>
        <w:t xml:space="preserve"> </w:t>
      </w:r>
      <w:r>
        <w:rPr>
          <w:color w:val="000000" w:themeColor="text1"/>
          <w:sz w:val="20"/>
          <w:szCs w:val="20"/>
        </w:rPr>
        <w:t>Program oferuje dofinansowanie wymiany starych i nieefektywnych źródeł ciepła na paliwo stałe na nowoczesne źródła ciepła spełniające najwyższe normy.</w:t>
      </w:r>
    </w:p>
  </w:footnote>
  <w:footnote w:id="14">
    <w:p>
      <w:pPr>
        <w:pStyle w:val="NoSpacing"/>
        <w:jc w:val="both"/>
        <w:rPr/>
      </w:pPr>
      <w:r>
        <w:rPr>
          <w:rStyle w:val="Znakiprzypiswdolnych"/>
        </w:rPr>
        <w:footnoteRef/>
      </w:r>
      <w:r>
        <w:rPr>
          <w:sz w:val="20"/>
          <w:szCs w:val="20"/>
        </w:rPr>
        <w:t xml:space="preserve"> </w:t>
      </w:r>
      <w:r>
        <w:rPr>
          <w:sz w:val="20"/>
          <w:szCs w:val="20"/>
        </w:rPr>
        <w:t xml:space="preserve">Wyzwaniem dla całego regionu będzie wdrożenie </w:t>
      </w:r>
      <w:r>
        <w:rPr>
          <w:rFonts w:eastAsia="Arimo"/>
          <w:sz w:val="20"/>
          <w:szCs w:val="20"/>
        </w:rPr>
        <w:t xml:space="preserve">uchwały nr XXII/292/20 Sejmiku Województwa Świętokrzyskiego z dnia 29 czerwca 2020r. </w:t>
      </w:r>
      <w:r>
        <w:rPr>
          <w:rFonts w:eastAsia="Arimo"/>
          <w:i/>
          <w:iCs/>
          <w:sz w:val="20"/>
          <w:szCs w:val="20"/>
        </w:rPr>
        <w:t>w sprawie wprowadzenia na obszarze województwa świętokrzyskiego ograniczeń i zakazów w zakresie eksploatacji instalacji, w których następuje spalanie paliwa</w:t>
      </w:r>
      <w:r>
        <w:rPr>
          <w:rFonts w:eastAsia="Arimo"/>
          <w:sz w:val="20"/>
          <w:szCs w:val="20"/>
        </w:rPr>
        <w:t xml:space="preserve">, która zakłada, że </w:t>
      </w:r>
      <w:r>
        <w:rPr>
          <w:rFonts w:eastAsia="Arimo"/>
          <w:b/>
          <w:bCs/>
          <w:sz w:val="20"/>
          <w:szCs w:val="20"/>
        </w:rPr>
        <w:t xml:space="preserve">od 01.07.2026r. </w:t>
      </w:r>
      <w:r>
        <w:rPr>
          <w:rFonts w:eastAsia="Arimo"/>
          <w:b/>
          <w:bCs/>
          <w:i/>
          <w:iCs/>
          <w:sz w:val="20"/>
          <w:szCs w:val="20"/>
        </w:rPr>
        <w:t xml:space="preserve"> </w:t>
      </w:r>
      <w:r>
        <w:rPr>
          <w:rStyle w:val="Strong"/>
          <w:rFonts w:cs="Calibri" w:cstheme="minorHAnsi"/>
          <w:sz w:val="20"/>
          <w:szCs w:val="20"/>
        </w:rPr>
        <w:t>na terenie województwa świętokrzyskiego będzie można użytkować tylko odnawialne, bądź niskoemisyjne źródła ciepła takie jak: ciepło z sieci miejskiej, kotły na gaz lub olej opalowy, pompy ciepła</w:t>
      </w:r>
      <w:r>
        <w:rPr>
          <w:sz w:val="20"/>
          <w:szCs w:val="20"/>
        </w:rPr>
        <w:t xml:space="preserve">, </w:t>
      </w:r>
      <w:r>
        <w:rPr>
          <w:b/>
          <w:bCs/>
          <w:sz w:val="20"/>
          <w:szCs w:val="20"/>
        </w:rPr>
        <w:t>ogrzewanie elektryczne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auto" w:line="240" w:before="0" w:after="0"/>
      <w:jc w:val="center"/>
      <w:rPr/>
    </w:pPr>
    <w:r>
      <w:rPr/>
      <w:t>Strategia Rozwoju Gminy Dwikozy do roku 2030</w:t>
    </w:r>
  </w:p>
  <w:p>
    <w:pPr>
      <w:pStyle w:val="Gwka"/>
      <w:spacing w:lineRule="auto" w:line="240" w:before="0" w:after="0"/>
      <w:jc w:val="center"/>
      <w:rPr>
        <w:b/>
        <w:b/>
        <w:bCs/>
      </w:rPr>
    </w:pPr>
    <w:r>
      <w:rPr>
        <w:b/>
        <w:bCs/>
      </w:rPr>
      <w:t>Diagnoza strategiczna sytuacji społecznej, gospodarczej  i przestrzennej</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auto" w:line="240" w:before="0" w:after="0"/>
      <w:jc w:val="center"/>
      <w:rPr>
        <w:b/>
        <w:b/>
        <w:bCs/>
      </w:rPr>
    </w:pPr>
    <w:r>
      <w:rPr>
        <w:b/>
        <w:bCs/>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auto" w:line="240" w:before="0" w:after="0"/>
      <w:jc w:val="center"/>
      <w:rPr/>
    </w:pPr>
    <w:r>
      <w:rPr/>
      <w:t>Strategia Rozwoju Gminy Dwikozy do roku 2030</w:t>
    </w:r>
  </w:p>
  <w:p>
    <w:pPr>
      <w:pStyle w:val="Gwka"/>
      <w:spacing w:lineRule="auto" w:line="240" w:before="0" w:after="0"/>
      <w:jc w:val="center"/>
      <w:rPr>
        <w:b/>
        <w:b/>
        <w:bCs/>
      </w:rPr>
    </w:pPr>
    <w:r>
      <w:rPr>
        <w:b/>
        <w:bCs/>
      </w:rPr>
      <w:t>Diagnoza strategiczna sytuacji społecznej, gospodarczej  i przestrzennej</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auto" w:line="240" w:before="0" w:after="0"/>
      <w:jc w:val="center"/>
      <w:rPr>
        <w:b/>
        <w:b/>
        <w:bCs/>
      </w:rPr>
    </w:pPr>
    <w:r>
      <w:rPr>
        <w:b/>
        <w:bCs/>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auto" w:line="240" w:before="0" w:after="0"/>
      <w:jc w:val="center"/>
      <w:rPr/>
    </w:pPr>
    <w:r>
      <w:rPr/>
      <w:t>Strategia Rozwoju Gminy Dwikozy do roku 2030</w:t>
    </w:r>
  </w:p>
  <w:p>
    <w:pPr>
      <w:pStyle w:val="Gwka"/>
      <w:spacing w:lineRule="auto" w:line="240" w:before="0" w:after="0"/>
      <w:jc w:val="center"/>
      <w:rPr>
        <w:b/>
        <w:b/>
        <w:bCs/>
      </w:rPr>
    </w:pPr>
    <w:r>
      <w:rPr>
        <w:b/>
        <w:bCs/>
      </w:rPr>
      <w:t>Diagnoza strategiczna sytuacji społecznej, gospodarczej  i przestrzennej</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630" w:hanging="360"/>
      </w:pPr>
      <w:rPr/>
    </w:lvl>
    <w:lvl w:ilvl="1">
      <w:start w:val="1"/>
      <w:numFmt w:val="decimal"/>
      <w:lvlText w:val="%1.%2"/>
      <w:lvlJc w:val="left"/>
      <w:pPr>
        <w:tabs>
          <w:tab w:val="num" w:pos="0"/>
        </w:tabs>
        <w:ind w:left="2772" w:hanging="432"/>
      </w:pPr>
      <w:rPr>
        <w:sz w:val="28"/>
        <w:szCs w:val="28"/>
        <w:color w:val="auto"/>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1">
    <w:lvl w:ilvl="0">
      <w:start w:val="4"/>
      <w:numFmt w:val="decimal"/>
      <w:lvlText w:val="%1."/>
      <w:lvlJc w:val="left"/>
      <w:pPr>
        <w:tabs>
          <w:tab w:val="num" w:pos="0"/>
        </w:tabs>
        <w:ind w:left="768" w:hanging="360"/>
      </w:pPr>
      <w:rPr/>
    </w:lvl>
    <w:lvl w:ilvl="1">
      <w:start w:val="1"/>
      <w:numFmt w:val="decimal"/>
      <w:lvlText w:val="%1.%2"/>
      <w:lvlJc w:val="left"/>
      <w:pPr>
        <w:tabs>
          <w:tab w:val="num" w:pos="0"/>
        </w:tabs>
        <w:ind w:left="882" w:hanging="432"/>
      </w:pPr>
      <w:rPr/>
    </w:lvl>
    <w:lvl w:ilvl="2">
      <w:start w:val="1"/>
      <w:numFmt w:val="decimal"/>
      <w:lvlText w:val="%1.%2.%3"/>
      <w:lvlJc w:val="left"/>
      <w:pPr>
        <w:tabs>
          <w:tab w:val="num" w:pos="0"/>
        </w:tabs>
        <w:ind w:left="1128" w:hanging="720"/>
      </w:pPr>
      <w:rPr/>
    </w:lvl>
    <w:lvl w:ilvl="3">
      <w:start w:val="1"/>
      <w:numFmt w:val="decimal"/>
      <w:lvlText w:val="%1.%2.%3.%4"/>
      <w:lvlJc w:val="left"/>
      <w:pPr>
        <w:tabs>
          <w:tab w:val="num" w:pos="0"/>
        </w:tabs>
        <w:ind w:left="1488" w:hanging="1080"/>
      </w:pPr>
      <w:rPr/>
    </w:lvl>
    <w:lvl w:ilvl="4">
      <w:start w:val="1"/>
      <w:numFmt w:val="decimal"/>
      <w:lvlText w:val="%1.%2.%3.%4.%5"/>
      <w:lvlJc w:val="left"/>
      <w:pPr>
        <w:tabs>
          <w:tab w:val="num" w:pos="0"/>
        </w:tabs>
        <w:ind w:left="1488" w:hanging="1080"/>
      </w:pPr>
      <w:rPr/>
    </w:lvl>
    <w:lvl w:ilvl="5">
      <w:start w:val="1"/>
      <w:numFmt w:val="decimal"/>
      <w:lvlText w:val="%1.%2.%3.%4.%5.%6"/>
      <w:lvlJc w:val="left"/>
      <w:pPr>
        <w:tabs>
          <w:tab w:val="num" w:pos="0"/>
        </w:tabs>
        <w:ind w:left="1848" w:hanging="1440"/>
      </w:pPr>
      <w:rPr/>
    </w:lvl>
    <w:lvl w:ilvl="6">
      <w:start w:val="1"/>
      <w:numFmt w:val="decimal"/>
      <w:lvlText w:val="%1.%2.%3.%4.%5.%6.%7"/>
      <w:lvlJc w:val="left"/>
      <w:pPr>
        <w:tabs>
          <w:tab w:val="num" w:pos="0"/>
        </w:tabs>
        <w:ind w:left="1848" w:hanging="1440"/>
      </w:pPr>
      <w:rPr/>
    </w:lvl>
    <w:lvl w:ilvl="7">
      <w:start w:val="1"/>
      <w:numFmt w:val="decimal"/>
      <w:lvlText w:val="%1.%2.%3.%4.%5.%6.%7.%8"/>
      <w:lvlJc w:val="left"/>
      <w:pPr>
        <w:tabs>
          <w:tab w:val="num" w:pos="0"/>
        </w:tabs>
        <w:ind w:left="2208" w:hanging="1800"/>
      </w:pPr>
      <w:rPr/>
    </w:lvl>
    <w:lvl w:ilvl="8">
      <w:start w:val="1"/>
      <w:numFmt w:val="decimal"/>
      <w:lvlText w:val="%1.%2.%3.%4.%5.%6.%7.%8.%9"/>
      <w:lvlJc w:val="left"/>
      <w:pPr>
        <w:tabs>
          <w:tab w:val="num" w:pos="0"/>
        </w:tabs>
        <w:ind w:left="2568" w:hanging="2160"/>
      </w:pPr>
      <w:rPr/>
    </w:lvl>
  </w:abstractNum>
  <w:abstractNum w:abstractNumId="12">
    <w:lvl w:ilvl="0">
      <w:start w:val="5"/>
      <w:numFmt w:val="decimal"/>
      <w:lvlText w:val="%1."/>
      <w:lvlJc w:val="left"/>
      <w:pPr>
        <w:tabs>
          <w:tab w:val="num" w:pos="0"/>
        </w:tabs>
        <w:ind w:left="768" w:hanging="360"/>
      </w:pPr>
      <w:rPr/>
    </w:lvl>
    <w:lvl w:ilvl="1">
      <w:start w:val="1"/>
      <w:numFmt w:val="decimal"/>
      <w:lvlText w:val="%1.%2"/>
      <w:lvlJc w:val="left"/>
      <w:pPr>
        <w:tabs>
          <w:tab w:val="num" w:pos="0"/>
        </w:tabs>
        <w:ind w:left="840" w:hanging="432"/>
      </w:pPr>
      <w:rPr/>
    </w:lvl>
    <w:lvl w:ilvl="2">
      <w:start w:val="1"/>
      <w:numFmt w:val="decimal"/>
      <w:lvlText w:val="%1.%2.%3"/>
      <w:lvlJc w:val="left"/>
      <w:pPr>
        <w:tabs>
          <w:tab w:val="num" w:pos="0"/>
        </w:tabs>
        <w:ind w:left="1128" w:hanging="720"/>
      </w:pPr>
      <w:rPr/>
    </w:lvl>
    <w:lvl w:ilvl="3">
      <w:start w:val="1"/>
      <w:numFmt w:val="decimal"/>
      <w:lvlText w:val="%1.%2.%3.%4"/>
      <w:lvlJc w:val="left"/>
      <w:pPr>
        <w:tabs>
          <w:tab w:val="num" w:pos="0"/>
        </w:tabs>
        <w:ind w:left="1488" w:hanging="1080"/>
      </w:pPr>
      <w:rPr/>
    </w:lvl>
    <w:lvl w:ilvl="4">
      <w:start w:val="1"/>
      <w:numFmt w:val="decimal"/>
      <w:lvlText w:val="%1.%2.%3.%4.%5"/>
      <w:lvlJc w:val="left"/>
      <w:pPr>
        <w:tabs>
          <w:tab w:val="num" w:pos="0"/>
        </w:tabs>
        <w:ind w:left="1488" w:hanging="1080"/>
      </w:pPr>
      <w:rPr/>
    </w:lvl>
    <w:lvl w:ilvl="5">
      <w:start w:val="1"/>
      <w:numFmt w:val="decimal"/>
      <w:lvlText w:val="%1.%2.%3.%4.%5.%6"/>
      <w:lvlJc w:val="left"/>
      <w:pPr>
        <w:tabs>
          <w:tab w:val="num" w:pos="0"/>
        </w:tabs>
        <w:ind w:left="1848" w:hanging="1440"/>
      </w:pPr>
      <w:rPr/>
    </w:lvl>
    <w:lvl w:ilvl="6">
      <w:start w:val="1"/>
      <w:numFmt w:val="decimal"/>
      <w:lvlText w:val="%1.%2.%3.%4.%5.%6.%7"/>
      <w:lvlJc w:val="left"/>
      <w:pPr>
        <w:tabs>
          <w:tab w:val="num" w:pos="0"/>
        </w:tabs>
        <w:ind w:left="1848" w:hanging="1440"/>
      </w:pPr>
      <w:rPr/>
    </w:lvl>
    <w:lvl w:ilvl="7">
      <w:start w:val="1"/>
      <w:numFmt w:val="decimal"/>
      <w:lvlText w:val="%1.%2.%3.%4.%5.%6.%7.%8"/>
      <w:lvlJc w:val="left"/>
      <w:pPr>
        <w:tabs>
          <w:tab w:val="num" w:pos="0"/>
        </w:tabs>
        <w:ind w:left="2208" w:hanging="1800"/>
      </w:pPr>
      <w:rPr/>
    </w:lvl>
    <w:lvl w:ilvl="8">
      <w:start w:val="1"/>
      <w:numFmt w:val="decimal"/>
      <w:lvlText w:val="%1.%2.%3.%4.%5.%6.%7.%8.%9"/>
      <w:lvlJc w:val="left"/>
      <w:pPr>
        <w:tabs>
          <w:tab w:val="num" w:pos="0"/>
        </w:tabs>
        <w:ind w:left="2568" w:hanging="2160"/>
      </w:pPr>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decimal"/>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bullet"/>
      <w:lvlText w:val=""/>
      <w:lvlJc w:val="left"/>
      <w:pPr>
        <w:tabs>
          <w:tab w:val="num" w:pos="0"/>
        </w:tabs>
        <w:ind w:left="1440" w:hanging="360"/>
      </w:pPr>
      <w:rPr>
        <w:rFonts w:ascii="Symbol" w:hAnsi="Symbol" w:cs="Symbol" w:hint="default"/>
      </w:rPr>
    </w:lvl>
    <w:lvl w:ilvl="1">
      <w:start w:val="0"/>
      <w:numFmt w:val="bullet"/>
      <w:lvlText w:val="•"/>
      <w:lvlJc w:val="left"/>
      <w:pPr>
        <w:tabs>
          <w:tab w:val="num" w:pos="0"/>
        </w:tabs>
        <w:ind w:left="2160" w:hanging="360"/>
      </w:pPr>
      <w:rPr>
        <w:rFonts w:ascii="Calibri" w:hAnsi="Calibri" w:cs="Calibri"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numFmt w:val="bullet"/>
      <w:lvlText w:val="•"/>
      <w:lvlJc w:val="left"/>
      <w:pPr>
        <w:tabs>
          <w:tab w:val="num" w:pos="0"/>
        </w:tabs>
        <w:ind w:left="1080" w:hanging="72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1440" w:hanging="360"/>
      </w:pPr>
      <w:rPr>
        <w:rFonts w:ascii="Wingdings" w:hAnsi="Wingdings" w:cs="Wingdings" w:hint="default"/>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6">
    <w:lvl w:ilvl="0">
      <w:start w:val="1"/>
      <w:numFmt w:val="decimal"/>
      <w:lvlText w:val="%1."/>
      <w:lvlJc w:val="left"/>
      <w:pPr>
        <w:tabs>
          <w:tab w:val="num" w:pos="0"/>
        </w:tabs>
        <w:ind w:left="630" w:hanging="360"/>
      </w:pPr>
      <w:rPr/>
    </w:lvl>
    <w:lvl w:ilvl="1">
      <w:start w:val="1"/>
      <w:numFmt w:val="bullet"/>
      <w:lvlText w:val=""/>
      <w:lvlJc w:val="left"/>
      <w:pPr>
        <w:tabs>
          <w:tab w:val="num" w:pos="0"/>
        </w:tabs>
        <w:ind w:left="1440" w:hanging="360"/>
      </w:pPr>
      <w:rPr>
        <w:rFonts w:ascii="Wingdings" w:hAnsi="Wingdings" w:cs="Wingdings" w:hint="default"/>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7">
    <w:lvl w:ilvl="0">
      <w:start w:val="1"/>
      <w:numFmt w:val="bullet"/>
      <w:lvlText w:val=""/>
      <w:lvlJc w:val="left"/>
      <w:pPr>
        <w:tabs>
          <w:tab w:val="num" w:pos="0"/>
        </w:tabs>
        <w:ind w:left="630" w:hanging="360"/>
      </w:pPr>
      <w:rPr>
        <w:rFonts w:ascii="Wingdings" w:hAnsi="Wingdings" w:cs="Wingdings" w:hint="default"/>
      </w:rPr>
    </w:lvl>
    <w:lvl w:ilvl="1">
      <w:start w:val="1"/>
      <w:numFmt w:val="decimal"/>
      <w:lvlText w:val="%2."/>
      <w:lvlJc w:val="left"/>
      <w:pPr>
        <w:tabs>
          <w:tab w:val="num" w:pos="0"/>
        </w:tabs>
        <w:ind w:left="1440" w:hanging="36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8">
    <w:lvl w:ilvl="0">
      <w:start w:val="1"/>
      <w:numFmt w:val="decimal"/>
      <w:lvlText w:val="%1."/>
      <w:lvlJc w:val="left"/>
      <w:pPr>
        <w:tabs>
          <w:tab w:val="num" w:pos="0"/>
        </w:tabs>
        <w:ind w:left="720" w:hanging="360"/>
      </w:pPr>
      <w:rPr/>
    </w:lvl>
    <w:lvl w:ilvl="1">
      <w:start w:val="1"/>
      <w:numFmt w:val="bullet"/>
      <w:lvlText w:val=""/>
      <w:lvlJc w:val="left"/>
      <w:pPr>
        <w:tabs>
          <w:tab w:val="num" w:pos="0"/>
        </w:tabs>
        <w:ind w:left="1440" w:hanging="360"/>
      </w:pPr>
      <w:rPr>
        <w:rFonts w:ascii="Wingdings" w:hAnsi="Wingdings" w:cs="Wingdings" w:hint="default"/>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decimal"/>
      <w:lvlText w:val="%1."/>
      <w:lvlJc w:val="left"/>
      <w:pPr>
        <w:tabs>
          <w:tab w:val="num" w:pos="0"/>
        </w:tabs>
        <w:ind w:left="630" w:hanging="360"/>
      </w:pPr>
      <w:rPr/>
    </w:lvl>
    <w:lvl w:ilvl="1">
      <w:start w:val="1"/>
      <w:numFmt w:val="decimal"/>
      <w:lvlText w:val="%2."/>
      <w:lvlJc w:val="left"/>
      <w:pPr>
        <w:tabs>
          <w:tab w:val="num" w:pos="0"/>
        </w:tabs>
        <w:ind w:left="1440" w:hanging="36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4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54">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55">
    <w:lvl w:ilvl="0">
      <w:start w:val="1"/>
      <w:numFmt w:val="decimal"/>
      <w:lvlText w:val="%1."/>
      <w:lvlJc w:val="left"/>
      <w:pPr>
        <w:tabs>
          <w:tab w:val="num" w:pos="0"/>
        </w:tabs>
        <w:ind w:left="1014" w:hanging="360"/>
      </w:pPr>
      <w:rPr/>
    </w:lvl>
    <w:lvl w:ilvl="1">
      <w:start w:val="1"/>
      <w:numFmt w:val="lowerLetter"/>
      <w:lvlText w:val="%2."/>
      <w:lvlJc w:val="left"/>
      <w:pPr>
        <w:tabs>
          <w:tab w:val="num" w:pos="0"/>
        </w:tabs>
        <w:ind w:left="1734" w:hanging="360"/>
      </w:pPr>
      <w:rPr/>
    </w:lvl>
    <w:lvl w:ilvl="2">
      <w:start w:val="1"/>
      <w:numFmt w:val="lowerRoman"/>
      <w:lvlText w:val="%3."/>
      <w:lvlJc w:val="right"/>
      <w:pPr>
        <w:tabs>
          <w:tab w:val="num" w:pos="0"/>
        </w:tabs>
        <w:ind w:left="2454" w:hanging="180"/>
      </w:pPr>
      <w:rPr/>
    </w:lvl>
    <w:lvl w:ilvl="3">
      <w:start w:val="1"/>
      <w:numFmt w:val="decimal"/>
      <w:lvlText w:val="%4."/>
      <w:lvlJc w:val="left"/>
      <w:pPr>
        <w:tabs>
          <w:tab w:val="num" w:pos="0"/>
        </w:tabs>
        <w:ind w:left="3174" w:hanging="360"/>
      </w:pPr>
      <w:rPr/>
    </w:lvl>
    <w:lvl w:ilvl="4">
      <w:start w:val="1"/>
      <w:numFmt w:val="lowerLetter"/>
      <w:lvlText w:val="%5."/>
      <w:lvlJc w:val="left"/>
      <w:pPr>
        <w:tabs>
          <w:tab w:val="num" w:pos="0"/>
        </w:tabs>
        <w:ind w:left="3894" w:hanging="360"/>
      </w:pPr>
      <w:rPr/>
    </w:lvl>
    <w:lvl w:ilvl="5">
      <w:start w:val="1"/>
      <w:numFmt w:val="lowerRoman"/>
      <w:lvlText w:val="%6."/>
      <w:lvlJc w:val="right"/>
      <w:pPr>
        <w:tabs>
          <w:tab w:val="num" w:pos="0"/>
        </w:tabs>
        <w:ind w:left="4614" w:hanging="180"/>
      </w:pPr>
      <w:rPr/>
    </w:lvl>
    <w:lvl w:ilvl="6">
      <w:start w:val="1"/>
      <w:numFmt w:val="decimal"/>
      <w:lvlText w:val="%7."/>
      <w:lvlJc w:val="left"/>
      <w:pPr>
        <w:tabs>
          <w:tab w:val="num" w:pos="0"/>
        </w:tabs>
        <w:ind w:left="5334" w:hanging="360"/>
      </w:pPr>
      <w:rPr/>
    </w:lvl>
    <w:lvl w:ilvl="7">
      <w:start w:val="1"/>
      <w:numFmt w:val="lowerLetter"/>
      <w:lvlText w:val="%8."/>
      <w:lvlJc w:val="left"/>
      <w:pPr>
        <w:tabs>
          <w:tab w:val="num" w:pos="0"/>
        </w:tabs>
        <w:ind w:left="6054" w:hanging="360"/>
      </w:pPr>
      <w:rPr/>
    </w:lvl>
    <w:lvl w:ilvl="8">
      <w:start w:val="1"/>
      <w:numFmt w:val="lowerRoman"/>
      <w:lvlText w:val="%9."/>
      <w:lvlJc w:val="right"/>
      <w:pPr>
        <w:tabs>
          <w:tab w:val="num" w:pos="0"/>
        </w:tabs>
        <w:ind w:left="6774" w:hanging="180"/>
      </w:pPr>
      <w:rPr/>
    </w:lvl>
  </w:abstractNum>
  <w:abstractNum w:abstractNumId="5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w="http://schemas.openxmlformats.org/wordprocessingml/2006/main">
  <w:zoom w:percent="90"/>
  <w:defaultTabStop w:val="720"/>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57d49"/>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paragraph" w:styleId="Nagwek1">
    <w:name w:val="Heading 1"/>
    <w:basedOn w:val="Normal"/>
    <w:next w:val="Normal"/>
    <w:link w:val="Nagwek1Znak"/>
    <w:uiPriority w:val="9"/>
    <w:qFormat/>
    <w:rsid w:val="008d47d1"/>
    <w:pPr>
      <w:keepNext w:val="true"/>
      <w:spacing w:before="240" w:after="60"/>
      <w:outlineLvl w:val="0"/>
    </w:pPr>
    <w:rPr>
      <w:rFonts w:ascii="Calibri Light" w:hAnsi="Calibri Light" w:eastAsia="Times New Roman" w:cs="Times New Roman"/>
      <w:b/>
      <w:bCs/>
      <w:kern w:val="2"/>
      <w:sz w:val="32"/>
      <w:szCs w:val="32"/>
    </w:rPr>
  </w:style>
  <w:style w:type="paragraph" w:styleId="Nagwek2">
    <w:name w:val="Heading 2"/>
    <w:basedOn w:val="Normal"/>
    <w:next w:val="Normal"/>
    <w:link w:val="Nagwek2Znak"/>
    <w:uiPriority w:val="9"/>
    <w:unhideWhenUsed/>
    <w:qFormat/>
    <w:rsid w:val="008d47d1"/>
    <w:pPr>
      <w:keepNext w:val="true"/>
      <w:spacing w:before="240" w:after="60"/>
      <w:outlineLvl w:val="1"/>
    </w:pPr>
    <w:rPr>
      <w:rFonts w:ascii="Calibri Light" w:hAnsi="Calibri Light" w:eastAsia="Times New Roman" w:cs="Times New Roman"/>
      <w:b/>
      <w:bCs/>
      <w:i/>
      <w:iCs/>
      <w:sz w:val="28"/>
      <w:szCs w:val="28"/>
    </w:rPr>
  </w:style>
  <w:style w:type="paragraph" w:styleId="Nagwek3">
    <w:name w:val="Heading 3"/>
    <w:basedOn w:val="Normal"/>
    <w:next w:val="Normal"/>
    <w:link w:val="Nagwek3Znak"/>
    <w:uiPriority w:val="9"/>
    <w:unhideWhenUsed/>
    <w:qFormat/>
    <w:rsid w:val="008d47d1"/>
    <w:pPr>
      <w:keepNext w:val="true"/>
      <w:spacing w:before="240" w:after="60"/>
      <w:outlineLvl w:val="2"/>
    </w:pPr>
    <w:rPr>
      <w:rFonts w:ascii="Calibri Light" w:hAnsi="Calibri Light" w:eastAsia="Times New Roman" w:cs="Times New Roman"/>
      <w:b/>
      <w:bCs/>
      <w:sz w:val="26"/>
      <w:szCs w:val="26"/>
    </w:rPr>
  </w:style>
  <w:style w:type="paragraph" w:styleId="Nagwek4">
    <w:name w:val="Heading 4"/>
    <w:basedOn w:val="Normal"/>
    <w:next w:val="Normal"/>
    <w:link w:val="Nagwek4Znak"/>
    <w:uiPriority w:val="9"/>
    <w:unhideWhenUsed/>
    <w:qFormat/>
    <w:rsid w:val="00ef158f"/>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Nagwek5">
    <w:name w:val="Heading 5"/>
    <w:basedOn w:val="Normal"/>
    <w:next w:val="Normal"/>
    <w:link w:val="Nagwek5Znak"/>
    <w:uiPriority w:val="9"/>
    <w:semiHidden/>
    <w:unhideWhenUsed/>
    <w:qFormat/>
    <w:rsid w:val="00a70890"/>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uiPriority w:val="9"/>
    <w:qFormat/>
    <w:rsid w:val="008d47d1"/>
    <w:rPr>
      <w:rFonts w:ascii="Calibri Light" w:hAnsi="Calibri Light" w:eastAsia="Times New Roman" w:cs="Times New Roman"/>
      <w:b/>
      <w:bCs/>
      <w:kern w:val="2"/>
      <w:sz w:val="32"/>
      <w:szCs w:val="32"/>
      <w:lang w:val="pl-PL"/>
    </w:rPr>
  </w:style>
  <w:style w:type="character" w:styleId="Nagwek2Znak" w:customStyle="1">
    <w:name w:val="Nagłówek 2 Znak"/>
    <w:basedOn w:val="DefaultParagraphFont"/>
    <w:uiPriority w:val="9"/>
    <w:qFormat/>
    <w:rsid w:val="008d47d1"/>
    <w:rPr>
      <w:rFonts w:ascii="Calibri Light" w:hAnsi="Calibri Light" w:eastAsia="Times New Roman" w:cs="Times New Roman"/>
      <w:b/>
      <w:bCs/>
      <w:i/>
      <w:iCs/>
      <w:sz w:val="28"/>
      <w:szCs w:val="28"/>
      <w:lang w:val="pl-PL"/>
    </w:rPr>
  </w:style>
  <w:style w:type="character" w:styleId="Nagwek3Znak" w:customStyle="1">
    <w:name w:val="Nagłówek 3 Znak"/>
    <w:basedOn w:val="DefaultParagraphFont"/>
    <w:uiPriority w:val="9"/>
    <w:qFormat/>
    <w:rsid w:val="008d47d1"/>
    <w:rPr>
      <w:rFonts w:ascii="Calibri Light" w:hAnsi="Calibri Light" w:eastAsia="Times New Roman" w:cs="Times New Roman"/>
      <w:b/>
      <w:bCs/>
      <w:sz w:val="26"/>
      <w:szCs w:val="26"/>
      <w:lang w:val="pl-PL"/>
    </w:rPr>
  </w:style>
  <w:style w:type="character" w:styleId="LegendaZnak" w:customStyle="1">
    <w:name w:val="Legenda Znak"/>
    <w:link w:val="Caption"/>
    <w:uiPriority w:val="35"/>
    <w:qFormat/>
    <w:locked/>
    <w:rsid w:val="00793921"/>
    <w:rPr>
      <w:rFonts w:ascii="Calibri" w:hAnsi="Calibri" w:eastAsia="Calibri" w:cs="Times New Roman"/>
      <w:b/>
      <w:bCs/>
      <w:sz w:val="20"/>
      <w:szCs w:val="20"/>
      <w:lang w:val="pl-PL"/>
    </w:rPr>
  </w:style>
  <w:style w:type="character" w:styleId="NagwekZnak" w:customStyle="1">
    <w:name w:val="Nagłówek Znak"/>
    <w:basedOn w:val="DefaultParagraphFont"/>
    <w:uiPriority w:val="99"/>
    <w:qFormat/>
    <w:rsid w:val="008d47d1"/>
    <w:rPr>
      <w:rFonts w:ascii="Calibri" w:hAnsi="Calibri" w:eastAsia="Calibri" w:cs="Times New Roman"/>
      <w:lang w:val="pl-PL"/>
    </w:rPr>
  </w:style>
  <w:style w:type="character" w:styleId="StopkaZnak" w:customStyle="1">
    <w:name w:val="Stopka Znak"/>
    <w:basedOn w:val="DefaultParagraphFont"/>
    <w:uiPriority w:val="99"/>
    <w:qFormat/>
    <w:rsid w:val="008d47d1"/>
    <w:rPr>
      <w:rFonts w:ascii="Calibri" w:hAnsi="Calibri" w:eastAsia="Calibri" w:cs="Times New Roman"/>
      <w:lang w:val="pl-PL"/>
    </w:rPr>
  </w:style>
  <w:style w:type="character" w:styleId="Annotationreference">
    <w:name w:val="annotation reference"/>
    <w:uiPriority w:val="99"/>
    <w:semiHidden/>
    <w:unhideWhenUsed/>
    <w:qFormat/>
    <w:rsid w:val="008d47d1"/>
    <w:rPr>
      <w:sz w:val="16"/>
      <w:szCs w:val="16"/>
    </w:rPr>
  </w:style>
  <w:style w:type="character" w:styleId="TekstkomentarzaZnak" w:customStyle="1">
    <w:name w:val="Tekst komentarza Znak"/>
    <w:basedOn w:val="DefaultParagraphFont"/>
    <w:link w:val="Annotationtext"/>
    <w:uiPriority w:val="99"/>
    <w:semiHidden/>
    <w:qFormat/>
    <w:rsid w:val="008d47d1"/>
    <w:rPr>
      <w:rFonts w:ascii="Calibri" w:hAnsi="Calibri" w:eastAsia="Calibri" w:cs="Times New Roman"/>
      <w:sz w:val="20"/>
      <w:szCs w:val="20"/>
      <w:lang w:val="pl-PL"/>
    </w:rPr>
  </w:style>
  <w:style w:type="character" w:styleId="TematkomentarzaZnak" w:customStyle="1">
    <w:name w:val="Temat komentarza Znak"/>
    <w:basedOn w:val="TekstkomentarzaZnak"/>
    <w:link w:val="Annotationsubject"/>
    <w:uiPriority w:val="99"/>
    <w:semiHidden/>
    <w:qFormat/>
    <w:rsid w:val="008d47d1"/>
    <w:rPr>
      <w:rFonts w:ascii="Calibri" w:hAnsi="Calibri" w:eastAsia="Calibri" w:cs="Times New Roman"/>
      <w:b/>
      <w:bCs/>
      <w:sz w:val="20"/>
      <w:szCs w:val="20"/>
      <w:lang w:val="pl-PL"/>
    </w:rPr>
  </w:style>
  <w:style w:type="character" w:styleId="BezodstpwZnak" w:customStyle="1">
    <w:name w:val="Bez odstępów Znak"/>
    <w:link w:val="NoSpacing"/>
    <w:uiPriority w:val="1"/>
    <w:qFormat/>
    <w:rsid w:val="008d47d1"/>
    <w:rPr>
      <w:rFonts w:ascii="Calibri" w:hAnsi="Calibri" w:eastAsia="Calibri" w:cs="Times New Roman"/>
      <w:lang w:val="pl-PL"/>
    </w:rPr>
  </w:style>
  <w:style w:type="character" w:styleId="TekstprzypisudolnegoZnak" w:customStyle="1">
    <w:name w:val="Tekst przypisu dolnego Znak"/>
    <w:basedOn w:val="DefaultParagraphFont"/>
    <w:uiPriority w:val="99"/>
    <w:qFormat/>
    <w:rsid w:val="008d47d1"/>
    <w:rPr>
      <w:rFonts w:ascii="Calibri" w:hAnsi="Calibri" w:eastAsia="Calibri" w:cs="Times New Roman"/>
      <w:sz w:val="20"/>
      <w:szCs w:val="20"/>
      <w:lang w:val="pl-PL"/>
    </w:rPr>
  </w:style>
  <w:style w:type="character" w:styleId="Zakotwiczenieprzypisudolnego">
    <w:name w:val="Footnote Reference"/>
    <w:rPr>
      <w:vertAlign w:val="superscript"/>
    </w:rPr>
  </w:style>
  <w:style w:type="character" w:styleId="FootnoteCharacters">
    <w:name w:val="Footnote Characters"/>
    <w:unhideWhenUsed/>
    <w:qFormat/>
    <w:rsid w:val="008d47d1"/>
    <w:rPr>
      <w:vertAlign w:val="superscript"/>
    </w:rPr>
  </w:style>
  <w:style w:type="character" w:styleId="Czeinternetowe">
    <w:name w:val="Hyperlink"/>
    <w:uiPriority w:val="99"/>
    <w:unhideWhenUsed/>
    <w:rsid w:val="008d47d1"/>
    <w:rPr>
      <w:color w:val="0563C1"/>
      <w:u w:val="single"/>
    </w:rPr>
  </w:style>
  <w:style w:type="character" w:styleId="Nierozpoznanawzmianka1" w:customStyle="1">
    <w:name w:val="Nierozpoznana wzmianka1"/>
    <w:uiPriority w:val="99"/>
    <w:semiHidden/>
    <w:unhideWhenUsed/>
    <w:qFormat/>
    <w:rsid w:val="008d47d1"/>
    <w:rPr>
      <w:color w:val="605E5C"/>
      <w:shd w:fill="E1DFDD" w:val="clear"/>
    </w:rPr>
  </w:style>
  <w:style w:type="character" w:styleId="Nagwek4Znak" w:customStyle="1">
    <w:name w:val="Nagłówek 4 Znak"/>
    <w:basedOn w:val="DefaultParagraphFont"/>
    <w:uiPriority w:val="9"/>
    <w:qFormat/>
    <w:rsid w:val="00ef158f"/>
    <w:rPr>
      <w:rFonts w:ascii="Calibri Light" w:hAnsi="Calibri Light" w:eastAsia="" w:cs="" w:asciiTheme="majorHAnsi" w:cstheme="majorBidi" w:eastAsiaTheme="majorEastAsia" w:hAnsiTheme="majorHAnsi"/>
      <w:i/>
      <w:iCs/>
      <w:color w:val="2F5496" w:themeColor="accent1" w:themeShade="bf"/>
      <w:lang w:val="pl-PL"/>
    </w:rPr>
  </w:style>
  <w:style w:type="character" w:styleId="Strong">
    <w:name w:val="Strong"/>
    <w:basedOn w:val="DefaultParagraphFont"/>
    <w:uiPriority w:val="22"/>
    <w:qFormat/>
    <w:rsid w:val="000733b1"/>
    <w:rPr>
      <w:b/>
      <w:bCs/>
    </w:rPr>
  </w:style>
  <w:style w:type="character" w:styleId="AkapitzlistZnak" w:customStyle="1">
    <w:name w:val="Akapit z listą Znak"/>
    <w:basedOn w:val="DefaultParagraphFont"/>
    <w:link w:val="ListParagraph"/>
    <w:uiPriority w:val="34"/>
    <w:qFormat/>
    <w:locked/>
    <w:rsid w:val="00d65ce6"/>
    <w:rPr>
      <w:rFonts w:ascii="Calibri" w:hAnsi="Calibri" w:eastAsia="Calibri" w:cs="Times New Roman"/>
      <w:lang w:val="pl-PL"/>
    </w:rPr>
  </w:style>
  <w:style w:type="character" w:styleId="TekstprzypisukocowegoZnak" w:customStyle="1">
    <w:name w:val="Tekst przypisu końcowego Znak"/>
    <w:basedOn w:val="DefaultParagraphFont"/>
    <w:uiPriority w:val="99"/>
    <w:semiHidden/>
    <w:qFormat/>
    <w:rsid w:val="00bb5ee5"/>
    <w:rPr>
      <w:sz w:val="20"/>
      <w:szCs w:val="20"/>
      <w:lang w:val="pl-PL"/>
    </w:rPr>
  </w:style>
  <w:style w:type="character" w:styleId="Zakotwiczenieprzypisukocowego">
    <w:name w:val="Endnote Reference"/>
    <w:rPr>
      <w:vertAlign w:val="superscript"/>
    </w:rPr>
  </w:style>
  <w:style w:type="character" w:styleId="EndnoteCharacters">
    <w:name w:val="Endnote Characters"/>
    <w:basedOn w:val="DefaultParagraphFont"/>
    <w:uiPriority w:val="99"/>
    <w:semiHidden/>
    <w:unhideWhenUsed/>
    <w:qFormat/>
    <w:rsid w:val="00bb5ee5"/>
    <w:rPr>
      <w:vertAlign w:val="superscript"/>
    </w:rPr>
  </w:style>
  <w:style w:type="character" w:styleId="TekstdymkaZnak" w:customStyle="1">
    <w:name w:val="Tekst dymka Znak"/>
    <w:basedOn w:val="DefaultParagraphFont"/>
    <w:link w:val="BalloonText"/>
    <w:uiPriority w:val="99"/>
    <w:qFormat/>
    <w:rsid w:val="00836c3c"/>
    <w:rPr>
      <w:rFonts w:ascii="Tahoma" w:hAnsi="Tahoma" w:cs="Tahoma"/>
      <w:sz w:val="16"/>
      <w:szCs w:val="16"/>
      <w:lang w:val="pl-PL"/>
    </w:rPr>
  </w:style>
  <w:style w:type="character" w:styleId="Nagwek5Znak" w:customStyle="1">
    <w:name w:val="Nagłówek 5 Znak"/>
    <w:basedOn w:val="DefaultParagraphFont"/>
    <w:uiPriority w:val="99"/>
    <w:qFormat/>
    <w:rsid w:val="00a70890"/>
    <w:rPr>
      <w:rFonts w:ascii="Calibri Light" w:hAnsi="Calibri Light" w:eastAsia="" w:cs="" w:asciiTheme="majorHAnsi" w:cstheme="majorBidi" w:eastAsiaTheme="majorEastAsia" w:hAnsiTheme="majorHAnsi"/>
      <w:color w:val="2F5496" w:themeColor="accent1" w:themeShade="bf"/>
      <w:lang w:val="pl-PL"/>
    </w:rPr>
  </w:style>
  <w:style w:type="character" w:styleId="TekstpodstawowyZnak" w:customStyle="1">
    <w:name w:val="Tekst podstawowy Znak"/>
    <w:basedOn w:val="DefaultParagraphFont"/>
    <w:uiPriority w:val="99"/>
    <w:qFormat/>
    <w:rsid w:val="00a70890"/>
    <w:rPr>
      <w:lang w:val="pl-PL"/>
    </w:rPr>
  </w:style>
  <w:style w:type="character" w:styleId="TekstpodstawowyzwciciemZnak" w:customStyle="1">
    <w:name w:val="Tekst podstawowy z wcięciem Znak"/>
    <w:basedOn w:val="TekstpodstawowyZnak"/>
    <w:link w:val="BodyTextIndent"/>
    <w:uiPriority w:val="99"/>
    <w:qFormat/>
    <w:rsid w:val="00a70890"/>
    <w:rPr>
      <w:rFonts w:ascii="Times New Roman" w:hAnsi="Times New Roman" w:eastAsia="Times New Roman" w:cs="Times New Roman"/>
      <w:lang w:val="x-none" w:eastAsia="x-none"/>
    </w:rPr>
  </w:style>
  <w:style w:type="character" w:styleId="FontStyle241" w:customStyle="1">
    <w:name w:val="Font Style241"/>
    <w:basedOn w:val="DefaultParagraphFont"/>
    <w:uiPriority w:val="99"/>
    <w:qFormat/>
    <w:rsid w:val="00d64406"/>
    <w:rPr>
      <w:rFonts w:ascii="Times New Roman" w:hAnsi="Times New Roman" w:cs="Times New Roman"/>
      <w:color w:val="000000"/>
      <w:sz w:val="22"/>
      <w:szCs w:val="22"/>
    </w:rPr>
  </w:style>
  <w:style w:type="character" w:styleId="UnresolvedMention">
    <w:name w:val="Unresolved Mention"/>
    <w:basedOn w:val="DefaultParagraphFont"/>
    <w:uiPriority w:val="99"/>
    <w:semiHidden/>
    <w:unhideWhenUsed/>
    <w:qFormat/>
    <w:rsid w:val="002c4f6e"/>
    <w:rPr>
      <w:color w:val="605E5C"/>
      <w:shd w:fill="E1DFDD" w:val="clear"/>
    </w:rPr>
  </w:style>
  <w:style w:type="character" w:styleId="Tekstpodstawowy2Znak" w:customStyle="1">
    <w:name w:val="Tekst podstawowy 2 Znak"/>
    <w:basedOn w:val="DefaultParagraphFont"/>
    <w:link w:val="BodyText2"/>
    <w:uiPriority w:val="99"/>
    <w:qFormat/>
    <w:rsid w:val="001e18cb"/>
    <w:rPr>
      <w:rFonts w:ascii="Georgia" w:hAnsi="Georgia" w:eastAsia="Georgia" w:cs="Times New Roman"/>
      <w:lang w:val="pl-PL"/>
    </w:rPr>
  </w:style>
  <w:style w:type="character" w:styleId="TekstprzypisudolnegoZnak1" w:customStyle="1">
    <w:name w:val="Tekst przypisu dolnego Znak1"/>
    <w:basedOn w:val="DefaultParagraphFont"/>
    <w:qFormat/>
    <w:rsid w:val="001e18cb"/>
    <w:rPr>
      <w:rFonts w:ascii="Trebuchet MS" w:hAnsi="Trebuchet MS" w:eastAsia="Times New Roman" w:cs="Times New Roman"/>
      <w:sz w:val="20"/>
      <w:szCs w:val="20"/>
      <w:lang w:eastAsia="pl-PL" w:bidi="en-US"/>
    </w:rPr>
  </w:style>
  <w:style w:type="character" w:styleId="PawwopisyZnak" w:customStyle="1">
    <w:name w:val="Pawłów_opisy Znak"/>
    <w:basedOn w:val="DefaultParagraphFont"/>
    <w:link w:val="Pawwopisy"/>
    <w:qFormat/>
    <w:rsid w:val="001e18cb"/>
    <w:rPr>
      <w:rFonts w:eastAsia="Calibri" w:cs="Calibri" w:cstheme="minorHAnsi"/>
      <w:sz w:val="20"/>
      <w:szCs w:val="20"/>
      <w:lang w:val="pl-PL"/>
    </w:rPr>
  </w:style>
  <w:style w:type="character" w:styleId="SubtleReference">
    <w:name w:val="Subtle Reference"/>
    <w:basedOn w:val="DefaultParagraphFont"/>
    <w:uiPriority w:val="31"/>
    <w:qFormat/>
    <w:rsid w:val="001e18cb"/>
    <w:rPr>
      <w:i/>
      <w:iCs/>
      <w:color w:val="auto"/>
    </w:rPr>
  </w:style>
  <w:style w:type="character" w:styleId="Teksttreci2" w:customStyle="1">
    <w:name w:val="Tekst treści (2)_"/>
    <w:link w:val="Teksttreci21"/>
    <w:qFormat/>
    <w:rsid w:val="001e18cb"/>
    <w:rPr>
      <w:rFonts w:ascii="Times New Roman" w:hAnsi="Times New Roman" w:eastAsia="Times New Roman" w:cs="Times New Roman"/>
      <w:shd w:fill="FFFFFF" w:val="clear"/>
    </w:rPr>
  </w:style>
  <w:style w:type="character" w:styleId="Wyrnienie" w:customStyle="1">
    <w:name w:val="Emphasis"/>
    <w:qFormat/>
    <w:rsid w:val="001e18cb"/>
    <w:rPr>
      <w:i/>
      <w:iCs/>
    </w:rPr>
  </w:style>
  <w:style w:type="character" w:styleId="Styl4dotabelZnak" w:customStyle="1">
    <w:name w:val="Styl4 do tabel Znak"/>
    <w:basedOn w:val="DefaultParagraphFont"/>
    <w:link w:val="Styl4dotabel"/>
    <w:qFormat/>
    <w:rsid w:val="001e18cb"/>
    <w:rPr>
      <w:rFonts w:ascii="Calibri" w:hAnsi="Calibri" w:eastAsia="Times New Roman" w:cs="Times New Roman"/>
      <w:color w:val="000000"/>
      <w:sz w:val="20"/>
      <w:lang w:val="pl-PL" w:eastAsia="ar-SA"/>
    </w:rPr>
  </w:style>
  <w:style w:type="character" w:styleId="TekstpodstawowywcityZnak" w:customStyle="1">
    <w:name w:val="Tekst podstawowy wcięty Znak"/>
    <w:basedOn w:val="DefaultParagraphFont"/>
    <w:uiPriority w:val="99"/>
    <w:qFormat/>
    <w:rsid w:val="001e18cb"/>
    <w:rPr>
      <w:rFonts w:ascii="Calibri" w:hAnsi="Calibri" w:eastAsia="Calibri" w:cs="Times New Roman"/>
      <w:lang w:val="pl-PL"/>
    </w:rPr>
  </w:style>
  <w:style w:type="character" w:styleId="RdoZnak" w:customStyle="1">
    <w:name w:val="Źródło Znak"/>
    <w:basedOn w:val="DefaultParagraphFont"/>
    <w:link w:val="Rdo"/>
    <w:qFormat/>
    <w:rsid w:val="001e18cb"/>
    <w:rPr>
      <w:rFonts w:eastAsia="" w:eastAsiaTheme="minorEastAsia"/>
      <w:i/>
      <w:color w:val="11151A" w:themeColor="text2" w:themeShade="40"/>
      <w:sz w:val="18"/>
      <w:lang w:val="pl-PL"/>
    </w:rPr>
  </w:style>
  <w:style w:type="character" w:styleId="STytuTabeliZnak" w:customStyle="1">
    <w:name w:val="STytuł Tabeli Znak"/>
    <w:link w:val="STytuTabeli"/>
    <w:qFormat/>
    <w:rsid w:val="001e18cb"/>
    <w:rPr>
      <w:rFonts w:eastAsia="Times New Roman" w:cs="Times New Roman"/>
      <w:b/>
      <w:lang w:val="pl-PL" w:eastAsia="pl-PL" w:bidi="en-US"/>
    </w:rPr>
  </w:style>
  <w:style w:type="character" w:styleId="FontStyle243" w:customStyle="1">
    <w:name w:val="Font Style243"/>
    <w:basedOn w:val="DefaultParagraphFont"/>
    <w:uiPriority w:val="99"/>
    <w:qFormat/>
    <w:rsid w:val="001e18cb"/>
    <w:rPr>
      <w:rFonts w:ascii="Times New Roman" w:hAnsi="Times New Roman" w:cs="Times New Roman"/>
      <w:color w:val="000000"/>
      <w:sz w:val="22"/>
      <w:szCs w:val="22"/>
    </w:rPr>
  </w:style>
  <w:style w:type="character" w:styleId="Styl4dotabelnagrowkiZnak" w:customStyle="1">
    <w:name w:val="Styl4 do tabel nagrłowki Znak"/>
    <w:basedOn w:val="Styl4dotabelZnak"/>
    <w:link w:val="Styl4dotabelnagrowki"/>
    <w:qFormat/>
    <w:rsid w:val="001e18cb"/>
    <w:rPr>
      <w:rFonts w:ascii="Calibri" w:hAnsi="Calibri" w:eastAsia="Times New Roman" w:cs="Times New Roman"/>
      <w:b/>
      <w:color w:val="000000"/>
      <w:sz w:val="20"/>
      <w:szCs w:val="20"/>
      <w:lang w:val="pl-PL" w:eastAsia="ar-SA"/>
    </w:rPr>
  </w:style>
  <w:style w:type="character" w:styleId="Markedcontent" w:customStyle="1">
    <w:name w:val="markedcontent"/>
    <w:basedOn w:val="DefaultParagraphFont"/>
    <w:qFormat/>
    <w:rsid w:val="001e18cb"/>
    <w:rPr/>
  </w:style>
  <w:style w:type="character" w:styleId="Highlight" w:customStyle="1">
    <w:name w:val="highlight"/>
    <w:basedOn w:val="DefaultParagraphFont"/>
    <w:qFormat/>
    <w:rsid w:val="001e18cb"/>
    <w:rPr/>
  </w:style>
  <w:style w:type="character" w:styleId="Hgkelc" w:customStyle="1">
    <w:name w:val="hgkelc"/>
    <w:basedOn w:val="DefaultParagraphFont"/>
    <w:qFormat/>
    <w:rsid w:val="001e18cb"/>
    <w:rPr/>
  </w:style>
  <w:style w:type="character" w:styleId="ZwykytekstZnak" w:customStyle="1">
    <w:name w:val="Zwykły tekst Znak"/>
    <w:basedOn w:val="DefaultParagraphFont"/>
    <w:link w:val="PlainText"/>
    <w:uiPriority w:val="99"/>
    <w:semiHidden/>
    <w:qFormat/>
    <w:rsid w:val="001e18cb"/>
    <w:rPr>
      <w:rFonts w:ascii="Calibri" w:hAnsi="Calibri"/>
      <w:szCs w:val="21"/>
      <w:lang w:val="pl-PL"/>
    </w:rPr>
  </w:style>
  <w:style w:type="character" w:styleId="Czeindeksu">
    <w:name w:val="Łącze indeksu"/>
    <w:qFormat/>
    <w:rPr/>
  </w:style>
  <w:style w:type="character" w:styleId="Znakiprzypiswdolnych">
    <w:name w:val="Znaki przypisów dolnych"/>
    <w:qForma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Times New Roman" w:hAnsi="Times New Roman" w:eastAsia="Microsoft YaHei" w:cs="Arial"/>
      <w:sz w:val="28"/>
      <w:szCs w:val="28"/>
    </w:rPr>
  </w:style>
  <w:style w:type="paragraph" w:styleId="Tretekstu">
    <w:name w:val="Body Text"/>
    <w:basedOn w:val="Normal"/>
    <w:link w:val="TekstpodstawowyZnak"/>
    <w:uiPriority w:val="99"/>
    <w:unhideWhenUsed/>
    <w:rsid w:val="00a70890"/>
    <w:pPr>
      <w:spacing w:before="0" w:after="120"/>
    </w:pPr>
    <w:rPr/>
  </w:style>
  <w:style w:type="paragraph" w:styleId="Lista">
    <w:name w:val="List"/>
    <w:basedOn w:val="Tretekstu"/>
    <w:pPr/>
    <w:rPr>
      <w:rFonts w:ascii="Times New Roman" w:hAnsi="Times New Roman" w:cs="Arial"/>
    </w:rPr>
  </w:style>
  <w:style w:type="paragraph" w:styleId="Podpis">
    <w:name w:val="Caption"/>
    <w:basedOn w:val="Normal"/>
    <w:qFormat/>
    <w:pPr>
      <w:suppressLineNumbers/>
      <w:spacing w:before="120" w:after="120"/>
    </w:pPr>
    <w:rPr>
      <w:rFonts w:ascii="Times New Roman" w:hAnsi="Times New Roman" w:cs="Arial"/>
      <w:i/>
      <w:iCs/>
      <w:sz w:val="24"/>
      <w:szCs w:val="24"/>
    </w:rPr>
  </w:style>
  <w:style w:type="paragraph" w:styleId="Indeks">
    <w:name w:val="Indeks"/>
    <w:basedOn w:val="Normal"/>
    <w:qFormat/>
    <w:pPr>
      <w:suppressLineNumbers/>
    </w:pPr>
    <w:rPr>
      <w:rFonts w:ascii="Times New Roman" w:hAnsi="Times New Roman" w:cs="Arial"/>
      <w:lang w:val="zxx" w:eastAsia="zxx" w:bidi="zxx"/>
    </w:rPr>
  </w:style>
  <w:style w:type="paragraph" w:styleId="NoSpacing">
    <w:name w:val="No Spacing"/>
    <w:link w:val="BezodstpwZnak"/>
    <w:uiPriority w:val="1"/>
    <w:qFormat/>
    <w:rsid w:val="008d47d1"/>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pl-PL" w:eastAsia="en-US" w:bidi="ar-SA"/>
    </w:rPr>
  </w:style>
  <w:style w:type="paragraph" w:styleId="Caption">
    <w:name w:val="caption"/>
    <w:basedOn w:val="Normal"/>
    <w:next w:val="Normal"/>
    <w:link w:val="LegendaZnak"/>
    <w:uiPriority w:val="35"/>
    <w:unhideWhenUsed/>
    <w:qFormat/>
    <w:rsid w:val="008d47d1"/>
    <w:pPr/>
    <w:rPr>
      <w:rFonts w:ascii="Calibri" w:hAnsi="Calibri" w:eastAsia="Calibri" w:cs="Times New Roman"/>
      <w:b/>
      <w:bCs/>
      <w:sz w:val="20"/>
      <w:szCs w:val="20"/>
    </w:rPr>
  </w:style>
  <w:style w:type="paragraph" w:styleId="Gwkaistopka">
    <w:name w:val="Główka i stopka"/>
    <w:basedOn w:val="Normal"/>
    <w:qFormat/>
    <w:pPr/>
    <w:rPr/>
  </w:style>
  <w:style w:type="paragraph" w:styleId="Gwka">
    <w:name w:val="Header"/>
    <w:basedOn w:val="Normal"/>
    <w:link w:val="NagwekZnak"/>
    <w:uiPriority w:val="99"/>
    <w:unhideWhenUsed/>
    <w:rsid w:val="008d47d1"/>
    <w:pPr>
      <w:tabs>
        <w:tab w:val="clear" w:pos="720"/>
        <w:tab w:val="center" w:pos="4680" w:leader="none"/>
        <w:tab w:val="right" w:pos="9360" w:leader="none"/>
      </w:tabs>
    </w:pPr>
    <w:rPr>
      <w:rFonts w:ascii="Calibri" w:hAnsi="Calibri" w:eastAsia="Calibri" w:cs="Times New Roman"/>
    </w:rPr>
  </w:style>
  <w:style w:type="paragraph" w:styleId="Stopka">
    <w:name w:val="Footer"/>
    <w:basedOn w:val="Normal"/>
    <w:link w:val="StopkaZnak"/>
    <w:uiPriority w:val="99"/>
    <w:unhideWhenUsed/>
    <w:rsid w:val="008d47d1"/>
    <w:pPr>
      <w:tabs>
        <w:tab w:val="clear" w:pos="720"/>
        <w:tab w:val="center" w:pos="4680" w:leader="none"/>
        <w:tab w:val="right" w:pos="9360" w:leader="none"/>
      </w:tabs>
    </w:pPr>
    <w:rPr>
      <w:rFonts w:ascii="Calibri" w:hAnsi="Calibri" w:eastAsia="Calibri" w:cs="Times New Roman"/>
    </w:rPr>
  </w:style>
  <w:style w:type="paragraph" w:styleId="Annotationtext">
    <w:name w:val="annotation text"/>
    <w:basedOn w:val="Normal"/>
    <w:link w:val="TekstkomentarzaZnak"/>
    <w:uiPriority w:val="99"/>
    <w:semiHidden/>
    <w:unhideWhenUsed/>
    <w:qFormat/>
    <w:rsid w:val="008d47d1"/>
    <w:pPr/>
    <w:rPr>
      <w:rFonts w:ascii="Calibri" w:hAnsi="Calibri" w:eastAsia="Calibri" w:cs="Times New Roman"/>
      <w:sz w:val="20"/>
      <w:szCs w:val="20"/>
    </w:rPr>
  </w:style>
  <w:style w:type="paragraph" w:styleId="Annotationsubject">
    <w:name w:val="annotation subject"/>
    <w:basedOn w:val="Annotationtext"/>
    <w:next w:val="Annotationtext"/>
    <w:link w:val="TematkomentarzaZnak"/>
    <w:uiPriority w:val="99"/>
    <w:semiHidden/>
    <w:unhideWhenUsed/>
    <w:qFormat/>
    <w:rsid w:val="008d47d1"/>
    <w:pPr/>
    <w:rPr>
      <w:b/>
      <w:bCs/>
    </w:rPr>
  </w:style>
  <w:style w:type="paragraph" w:styleId="Przypisdolny">
    <w:name w:val="Footnote Text"/>
    <w:basedOn w:val="Normal"/>
    <w:link w:val="TekstprzypisudolnegoZnak"/>
    <w:uiPriority w:val="99"/>
    <w:unhideWhenUsed/>
    <w:qFormat/>
    <w:rsid w:val="008d47d1"/>
    <w:pPr/>
    <w:rPr>
      <w:rFonts w:ascii="Calibri" w:hAnsi="Calibri" w:eastAsia="Calibri" w:cs="Times New Roman"/>
      <w:sz w:val="20"/>
      <w:szCs w:val="20"/>
    </w:rPr>
  </w:style>
  <w:style w:type="paragraph" w:styleId="Nagwekindeksu">
    <w:name w:val="Index Heading"/>
    <w:basedOn w:val="Nagwek"/>
    <w:pPr/>
    <w:rPr/>
  </w:style>
  <w:style w:type="paragraph" w:styleId="Nagwekspisutreci">
    <w:name w:val="TOC Heading"/>
    <w:basedOn w:val="Nagwek1"/>
    <w:next w:val="Normal"/>
    <w:uiPriority w:val="39"/>
    <w:unhideWhenUsed/>
    <w:qFormat/>
    <w:rsid w:val="008d47d1"/>
    <w:pPr>
      <w:keepLines/>
      <w:spacing w:before="240" w:after="0"/>
      <w:outlineLvl w:val="9"/>
    </w:pPr>
    <w:rPr>
      <w:b w:val="false"/>
      <w:bCs w:val="false"/>
      <w:color w:val="2F5496"/>
      <w:kern w:val="0"/>
      <w:lang w:val="en-US"/>
    </w:rPr>
  </w:style>
  <w:style w:type="paragraph" w:styleId="Spistreci1">
    <w:name w:val="TOC 1"/>
    <w:basedOn w:val="Normal"/>
    <w:next w:val="Normal"/>
    <w:autoRedefine/>
    <w:uiPriority w:val="39"/>
    <w:unhideWhenUsed/>
    <w:rsid w:val="00801334"/>
    <w:pPr>
      <w:tabs>
        <w:tab w:val="clear" w:pos="720"/>
        <w:tab w:val="left" w:pos="440" w:leader="none"/>
        <w:tab w:val="right" w:pos="9016" w:leader="dot"/>
      </w:tabs>
    </w:pPr>
    <w:rPr>
      <w:rFonts w:ascii="Calibri" w:hAnsi="Calibri" w:eastAsia="Calibri" w:cs="Times New Roman"/>
    </w:rPr>
  </w:style>
  <w:style w:type="paragraph" w:styleId="Spistreci2">
    <w:name w:val="TOC 2"/>
    <w:basedOn w:val="Normal"/>
    <w:next w:val="Normal"/>
    <w:autoRedefine/>
    <w:uiPriority w:val="39"/>
    <w:unhideWhenUsed/>
    <w:rsid w:val="007f5423"/>
    <w:pPr>
      <w:tabs>
        <w:tab w:val="clear" w:pos="720"/>
        <w:tab w:val="right" w:pos="9060" w:leader="dot"/>
      </w:tabs>
      <w:spacing w:lineRule="auto" w:line="240" w:before="0" w:after="0"/>
      <w:ind w:left="221" w:hanging="0"/>
    </w:pPr>
    <w:rPr>
      <w:rFonts w:ascii="Calibri" w:hAnsi="Calibri" w:eastAsia="Calibri" w:cs="Times New Roman"/>
    </w:rPr>
  </w:style>
  <w:style w:type="paragraph" w:styleId="Spistreci3">
    <w:name w:val="TOC 3"/>
    <w:basedOn w:val="Normal"/>
    <w:next w:val="Normal"/>
    <w:autoRedefine/>
    <w:uiPriority w:val="39"/>
    <w:unhideWhenUsed/>
    <w:rsid w:val="008d47d1"/>
    <w:pPr>
      <w:ind w:left="440" w:hanging="0"/>
    </w:pPr>
    <w:rPr>
      <w:rFonts w:ascii="Calibri" w:hAnsi="Calibri" w:eastAsia="Calibri" w:cs="Times New Roman"/>
    </w:rPr>
  </w:style>
  <w:style w:type="paragraph" w:styleId="ListParagraph">
    <w:name w:val="List Paragraph"/>
    <w:basedOn w:val="Normal"/>
    <w:link w:val="AkapitzlistZnak"/>
    <w:uiPriority w:val="34"/>
    <w:qFormat/>
    <w:rsid w:val="008d47d1"/>
    <w:pPr>
      <w:ind w:left="720" w:hanging="0"/>
    </w:pPr>
    <w:rPr>
      <w:rFonts w:ascii="Calibri" w:hAnsi="Calibri" w:eastAsia="Calibri" w:cs="Times New Roman"/>
    </w:rPr>
  </w:style>
  <w:style w:type="paragraph" w:styleId="Tableoffigures">
    <w:name w:val="table of figures"/>
    <w:basedOn w:val="Normal"/>
    <w:next w:val="Normal"/>
    <w:uiPriority w:val="99"/>
    <w:unhideWhenUsed/>
    <w:qFormat/>
    <w:rsid w:val="00944331"/>
    <w:pPr>
      <w:spacing w:before="0" w:after="0"/>
    </w:pPr>
    <w:rPr/>
  </w:style>
  <w:style w:type="paragraph" w:styleId="ListBullet">
    <w:name w:val="List Bullet"/>
    <w:basedOn w:val="Normal"/>
    <w:uiPriority w:val="99"/>
    <w:unhideWhenUsed/>
    <w:qFormat/>
    <w:rsid w:val="00fe32b0"/>
    <w:pPr>
      <w:numPr>
        <w:ilvl w:val="0"/>
        <w:numId w:val="8"/>
      </w:numPr>
      <w:spacing w:before="0" w:after="160"/>
      <w:contextualSpacing/>
    </w:pPr>
    <w:rPr/>
  </w:style>
  <w:style w:type="paragraph" w:styleId="Default" w:customStyle="1">
    <w:name w:val="Default"/>
    <w:qFormat/>
    <w:rsid w:val="00d65ce6"/>
    <w:pPr>
      <w:widowControl/>
      <w:bidi w:val="0"/>
      <w:spacing w:lineRule="auto" w:line="240" w:before="0" w:after="0"/>
      <w:ind w:firstLine="709"/>
      <w:jc w:val="both"/>
    </w:pPr>
    <w:rPr>
      <w:rFonts w:ascii="Times New Roman" w:hAnsi="Times New Roman" w:cs="Times New Roman" w:eastAsia="Calibri"/>
      <w:color w:val="000000"/>
      <w:kern w:val="0"/>
      <w:sz w:val="24"/>
      <w:szCs w:val="24"/>
      <w:lang w:val="pl-PL" w:eastAsia="en-US" w:bidi="ar-SA"/>
    </w:rPr>
  </w:style>
  <w:style w:type="paragraph" w:styleId="NormalWeb">
    <w:name w:val="Normal (Web)"/>
    <w:basedOn w:val="Normal"/>
    <w:uiPriority w:val="99"/>
    <w:unhideWhenUsed/>
    <w:qFormat/>
    <w:rsid w:val="00146d89"/>
    <w:pPr>
      <w:spacing w:lineRule="auto" w:line="240" w:beforeAutospacing="1" w:afterAutospacing="1"/>
    </w:pPr>
    <w:rPr>
      <w:rFonts w:ascii="Times New Roman" w:hAnsi="Times New Roman" w:eastAsia="Times New Roman" w:cs="Times New Roman"/>
      <w:sz w:val="24"/>
      <w:szCs w:val="24"/>
      <w:lang w:eastAsia="pl-PL"/>
    </w:rPr>
  </w:style>
  <w:style w:type="paragraph" w:styleId="Przypiskocowy">
    <w:name w:val="Endnote Text"/>
    <w:basedOn w:val="Normal"/>
    <w:link w:val="TekstprzypisukocowegoZnak"/>
    <w:uiPriority w:val="99"/>
    <w:semiHidden/>
    <w:unhideWhenUsed/>
    <w:rsid w:val="00bb5ee5"/>
    <w:pPr>
      <w:spacing w:lineRule="auto" w:line="240" w:before="0" w:after="0"/>
    </w:pPr>
    <w:rPr>
      <w:sz w:val="20"/>
      <w:szCs w:val="20"/>
    </w:rPr>
  </w:style>
  <w:style w:type="paragraph" w:styleId="BalloonText">
    <w:name w:val="Balloon Text"/>
    <w:basedOn w:val="Normal"/>
    <w:link w:val="TekstdymkaZnak"/>
    <w:uiPriority w:val="99"/>
    <w:unhideWhenUsed/>
    <w:qFormat/>
    <w:rsid w:val="00836c3c"/>
    <w:pPr>
      <w:spacing w:lineRule="auto" w:line="240" w:before="0" w:after="0"/>
    </w:pPr>
    <w:rPr>
      <w:rFonts w:ascii="Tahoma" w:hAnsi="Tahoma" w:cs="Tahoma"/>
      <w:sz w:val="16"/>
      <w:szCs w:val="16"/>
    </w:rPr>
  </w:style>
  <w:style w:type="paragraph" w:styleId="BodyTextIndent">
    <w:name w:val="Body Text Indent"/>
    <w:basedOn w:val="Tretekstu"/>
    <w:link w:val="TekstpodstawowyzwciciemZnak"/>
    <w:uiPriority w:val="99"/>
    <w:unhideWhenUsed/>
    <w:qFormat/>
    <w:rsid w:val="00a70890"/>
    <w:pPr>
      <w:spacing w:lineRule="auto" w:line="276" w:before="0" w:after="200"/>
      <w:ind w:firstLine="360"/>
    </w:pPr>
    <w:rPr>
      <w:rFonts w:ascii="Times New Roman" w:hAnsi="Times New Roman" w:eastAsia="Times New Roman" w:cs="Times New Roman"/>
      <w:lang w:val="x-none" w:eastAsia="x-none"/>
    </w:rPr>
  </w:style>
  <w:style w:type="paragraph" w:styleId="Dtn" w:customStyle="1">
    <w:name w:val="dtn"/>
    <w:basedOn w:val="Normal"/>
    <w:qFormat/>
    <w:rsid w:val="00d64406"/>
    <w:pPr>
      <w:spacing w:lineRule="auto" w:line="240" w:beforeAutospacing="1" w:afterAutospacing="1"/>
    </w:pPr>
    <w:rPr>
      <w:rFonts w:ascii="Times New Roman" w:hAnsi="Times New Roman" w:cs="Times New Roman"/>
      <w:sz w:val="24"/>
      <w:szCs w:val="24"/>
      <w:lang w:eastAsia="pl-PL"/>
    </w:rPr>
  </w:style>
  <w:style w:type="paragraph" w:styleId="TableParagraph" w:customStyle="1">
    <w:name w:val="Table Paragraph"/>
    <w:basedOn w:val="Normal"/>
    <w:uiPriority w:val="1"/>
    <w:qFormat/>
    <w:rsid w:val="008143e1"/>
    <w:pPr>
      <w:widowControl w:val="false"/>
      <w:spacing w:lineRule="auto" w:line="240" w:before="0" w:after="0"/>
    </w:pPr>
    <w:rPr>
      <w:rFonts w:ascii="Arial" w:hAnsi="Arial" w:eastAsia="Arial" w:cs="Arial"/>
    </w:rPr>
  </w:style>
  <w:style w:type="paragraph" w:styleId="BodyText2">
    <w:name w:val="Body Text 2"/>
    <w:basedOn w:val="Normal"/>
    <w:link w:val="Tekstpodstawowy2Znak"/>
    <w:uiPriority w:val="99"/>
    <w:unhideWhenUsed/>
    <w:qFormat/>
    <w:rsid w:val="001e18cb"/>
    <w:pPr>
      <w:spacing w:lineRule="auto" w:line="480" w:before="0" w:after="120"/>
    </w:pPr>
    <w:rPr>
      <w:rFonts w:ascii="Georgia" w:hAnsi="Georgia" w:eastAsia="Georgia" w:cs="Times New Roman"/>
    </w:rPr>
  </w:style>
  <w:style w:type="paragraph" w:styleId="Pawwopisy" w:customStyle="1">
    <w:name w:val="Pawłów_opisy"/>
    <w:basedOn w:val="Normal"/>
    <w:link w:val="PawwopisyZnak"/>
    <w:autoRedefine/>
    <w:qFormat/>
    <w:rsid w:val="001e18cb"/>
    <w:pPr>
      <w:keepNext w:val="true"/>
      <w:numPr>
        <w:ilvl w:val="0"/>
        <w:numId w:val="62"/>
      </w:numPr>
      <w:spacing w:lineRule="auto" w:line="276" w:before="0" w:after="0"/>
      <w:jc w:val="both"/>
    </w:pPr>
    <w:rPr>
      <w:rFonts w:eastAsia="Calibri" w:cs="Calibri" w:cstheme="minorHAnsi"/>
      <w:sz w:val="20"/>
      <w:szCs w:val="20"/>
    </w:rPr>
  </w:style>
  <w:style w:type="paragraph" w:styleId="ListBullet2">
    <w:name w:val="List Bullet 2"/>
    <w:basedOn w:val="Normal"/>
    <w:uiPriority w:val="99"/>
    <w:unhideWhenUsed/>
    <w:qFormat/>
    <w:rsid w:val="001e18cb"/>
    <w:pPr>
      <w:numPr>
        <w:ilvl w:val="0"/>
        <w:numId w:val="56"/>
      </w:numPr>
      <w:spacing w:before="0" w:after="160"/>
      <w:contextualSpacing/>
    </w:pPr>
    <w:rPr/>
  </w:style>
  <w:style w:type="paragraph" w:styleId="Listapunktowana21" w:customStyle="1">
    <w:name w:val="Lista punktowana 21"/>
    <w:basedOn w:val="Normal"/>
    <w:qFormat/>
    <w:rsid w:val="001e18cb"/>
    <w:pPr>
      <w:numPr>
        <w:ilvl w:val="0"/>
        <w:numId w:val="57"/>
      </w:numPr>
      <w:suppressAutoHyphens w:val="true"/>
      <w:spacing w:lineRule="auto" w:line="240" w:before="0" w:after="0"/>
    </w:pPr>
    <w:rPr>
      <w:rFonts w:ascii="Times New Roman" w:hAnsi="Times New Roman" w:eastAsia="Times New Roman" w:cs="Times New Roman"/>
      <w:sz w:val="24"/>
      <w:szCs w:val="24"/>
      <w:lang w:eastAsia="zh-CN"/>
    </w:rPr>
  </w:style>
  <w:style w:type="paragraph" w:styleId="Tekstpodstawowy25" w:customStyle="1">
    <w:name w:val="Tekst podstawowy 25"/>
    <w:basedOn w:val="Normal"/>
    <w:qFormat/>
    <w:rsid w:val="001e18cb"/>
    <w:pPr>
      <w:tabs>
        <w:tab w:val="clear" w:pos="720"/>
        <w:tab w:val="left" w:pos="0" w:leader="none"/>
      </w:tabs>
      <w:overflowPunct w:val="true"/>
      <w:spacing w:lineRule="auto" w:line="360" w:before="0" w:after="0"/>
      <w:ind w:left="2130" w:hanging="0"/>
      <w:textAlignment w:val="baseline"/>
    </w:pPr>
    <w:rPr>
      <w:rFonts w:ascii="Times New Roman" w:hAnsi="Times New Roman" w:eastAsia="Times New Roman" w:cs="Times New Roman"/>
      <w:sz w:val="24"/>
      <w:szCs w:val="20"/>
      <w:lang w:eastAsia="pl-PL"/>
    </w:rPr>
  </w:style>
  <w:style w:type="paragraph" w:styleId="Teksttreci21" w:customStyle="1">
    <w:name w:val="Tekst treści (2)"/>
    <w:basedOn w:val="Normal"/>
    <w:link w:val="Teksttreci2"/>
    <w:qFormat/>
    <w:rsid w:val="001e18cb"/>
    <w:pPr>
      <w:widowControl w:val="false"/>
      <w:shd w:val="clear" w:color="auto" w:fill="FFFFFF"/>
      <w:spacing w:lineRule="exact" w:line="346" w:before="0" w:after="0"/>
      <w:ind w:hanging="520"/>
      <w:jc w:val="both"/>
    </w:pPr>
    <w:rPr>
      <w:rFonts w:ascii="Times New Roman" w:hAnsi="Times New Roman" w:eastAsia="Times New Roman" w:cs="Times New Roman"/>
      <w:lang w:val="en-US"/>
    </w:rPr>
  </w:style>
  <w:style w:type="paragraph" w:styleId="Standard" w:customStyle="1">
    <w:name w:val="Standard"/>
    <w:qFormat/>
    <w:rsid w:val="001e18cb"/>
    <w:pPr>
      <w:widowControl w:val="false"/>
      <w:suppressAutoHyphens w:val="true"/>
      <w:bidi w:val="0"/>
      <w:spacing w:lineRule="auto" w:line="240" w:before="0" w:after="0"/>
      <w:jc w:val="left"/>
    </w:pPr>
    <w:rPr>
      <w:rFonts w:ascii="Times New Roman" w:hAnsi="Times New Roman" w:eastAsia="Lucida Sans Unicode" w:cs="Tahoma"/>
      <w:color w:val="000000"/>
      <w:kern w:val="2"/>
      <w:sz w:val="24"/>
      <w:szCs w:val="24"/>
      <w:lang w:bidi="en-US" w:val="en-US" w:eastAsia="en-US"/>
    </w:rPr>
  </w:style>
  <w:style w:type="paragraph" w:styleId="Styl4dotabel" w:customStyle="1">
    <w:name w:val="Styl4 do tabel"/>
    <w:basedOn w:val="Normal"/>
    <w:link w:val="Styl4dotabelZnak"/>
    <w:qFormat/>
    <w:rsid w:val="001e18cb"/>
    <w:pPr>
      <w:suppressAutoHyphens w:val="true"/>
      <w:snapToGrid w:val="false"/>
      <w:spacing w:lineRule="auto" w:line="240" w:before="0" w:after="0"/>
      <w:jc w:val="center"/>
    </w:pPr>
    <w:rPr>
      <w:rFonts w:ascii="Calibri" w:hAnsi="Calibri" w:eastAsia="Times New Roman" w:cs="Times New Roman"/>
      <w:color w:val="000000"/>
      <w:sz w:val="20"/>
      <w:lang w:eastAsia="ar-SA"/>
    </w:rPr>
  </w:style>
  <w:style w:type="paragraph" w:styleId="Normalny" w:customStyle="1">
    <w:name w:val="_Normalny"/>
    <w:basedOn w:val="Normal"/>
    <w:qFormat/>
    <w:rsid w:val="001e18cb"/>
    <w:pPr>
      <w:spacing w:lineRule="auto" w:line="360" w:before="0" w:after="200"/>
      <w:jc w:val="both"/>
    </w:pPr>
    <w:rPr>
      <w:rFonts w:eastAsia="" w:eastAsiaTheme="minorEastAsia"/>
    </w:rPr>
  </w:style>
  <w:style w:type="paragraph" w:styleId="Wcicietrecitekstu">
    <w:name w:val="Body Text Indent"/>
    <w:basedOn w:val="Normal"/>
    <w:link w:val="TekstpodstawowywcityZnak"/>
    <w:uiPriority w:val="99"/>
    <w:unhideWhenUsed/>
    <w:rsid w:val="001e18cb"/>
    <w:pPr>
      <w:spacing w:before="0" w:after="120"/>
      <w:ind w:left="283" w:hanging="0"/>
    </w:pPr>
    <w:rPr>
      <w:rFonts w:ascii="Calibri" w:hAnsi="Calibri" w:eastAsia="Calibri" w:cs="Times New Roman"/>
    </w:rPr>
  </w:style>
  <w:style w:type="paragraph" w:styleId="Rdo" w:customStyle="1">
    <w:name w:val="Źródło"/>
    <w:basedOn w:val="Normal"/>
    <w:link w:val="RdoZnak"/>
    <w:qFormat/>
    <w:rsid w:val="001e18cb"/>
    <w:pPr>
      <w:spacing w:lineRule="auto" w:line="360" w:before="0" w:after="200"/>
      <w:jc w:val="center"/>
    </w:pPr>
    <w:rPr>
      <w:rFonts w:eastAsia="" w:eastAsiaTheme="minorEastAsia"/>
      <w:i/>
      <w:color w:val="11151A" w:themeColor="text2" w:themeShade="40"/>
      <w:sz w:val="18"/>
    </w:rPr>
  </w:style>
  <w:style w:type="paragraph" w:styleId="STytuTabeli" w:customStyle="1">
    <w:name w:val="STytuł Tabeli"/>
    <w:basedOn w:val="NormalWeb"/>
    <w:link w:val="STytuTabeliZnak"/>
    <w:qFormat/>
    <w:rsid w:val="001e18cb"/>
    <w:pPr>
      <w:keepNext w:val="true"/>
      <w:keepLines/>
      <w:spacing w:lineRule="auto" w:line="360" w:before="280" w:afterAutospacing="0" w:after="60"/>
      <w:jc w:val="both"/>
    </w:pPr>
    <w:rPr>
      <w:rFonts w:ascii="Calibri" w:hAnsi="Calibri" w:asciiTheme="minorHAnsi" w:hAnsiTheme="minorHAnsi"/>
      <w:b/>
      <w:sz w:val="22"/>
      <w:szCs w:val="22"/>
      <w:lang w:bidi="en-US"/>
    </w:rPr>
  </w:style>
  <w:style w:type="paragraph" w:styleId="Style74" w:customStyle="1">
    <w:name w:val="Style74"/>
    <w:basedOn w:val="Normal"/>
    <w:uiPriority w:val="99"/>
    <w:qFormat/>
    <w:rsid w:val="001e18cb"/>
    <w:pPr>
      <w:widowControl w:val="false"/>
      <w:spacing w:lineRule="exact" w:line="414" w:before="0" w:after="0"/>
      <w:ind w:firstLine="706"/>
      <w:jc w:val="both"/>
    </w:pPr>
    <w:rPr>
      <w:rFonts w:ascii="Times New Roman" w:hAnsi="Times New Roman" w:eastAsia="" w:cs="Times New Roman" w:eastAsiaTheme="minorEastAsia"/>
      <w:sz w:val="24"/>
      <w:szCs w:val="24"/>
      <w:lang w:eastAsia="pl-PL"/>
    </w:rPr>
  </w:style>
  <w:style w:type="paragraph" w:styleId="Style105" w:customStyle="1">
    <w:name w:val="Style105"/>
    <w:basedOn w:val="Normal"/>
    <w:uiPriority w:val="99"/>
    <w:qFormat/>
    <w:rsid w:val="001e18cb"/>
    <w:pPr>
      <w:widowControl w:val="false"/>
      <w:spacing w:lineRule="exact" w:line="416" w:before="0" w:after="0"/>
      <w:ind w:firstLine="715"/>
      <w:jc w:val="both"/>
    </w:pPr>
    <w:rPr>
      <w:rFonts w:ascii="Times New Roman" w:hAnsi="Times New Roman" w:eastAsia="" w:cs="Times New Roman" w:eastAsiaTheme="minorEastAsia"/>
      <w:sz w:val="24"/>
      <w:szCs w:val="24"/>
      <w:lang w:eastAsia="pl-PL"/>
    </w:rPr>
  </w:style>
  <w:style w:type="paragraph" w:styleId="Styl4dotabelnagrowki" w:customStyle="1">
    <w:name w:val="Styl4 do tabel nagrłowki"/>
    <w:basedOn w:val="Styl4dotabel"/>
    <w:link w:val="Styl4dotabelnagrowkiZnak"/>
    <w:qFormat/>
    <w:rsid w:val="001e18cb"/>
    <w:pPr/>
    <w:rPr>
      <w:b/>
      <w:szCs w:val="20"/>
    </w:rPr>
  </w:style>
  <w:style w:type="paragraph" w:styleId="PlainText">
    <w:name w:val="Plain Text"/>
    <w:basedOn w:val="Normal"/>
    <w:link w:val="ZwykytekstZnak"/>
    <w:uiPriority w:val="99"/>
    <w:semiHidden/>
    <w:unhideWhenUsed/>
    <w:qFormat/>
    <w:rsid w:val="001e18cb"/>
    <w:pPr>
      <w:spacing w:lineRule="auto" w:line="240" w:before="0" w:after="0"/>
    </w:pPr>
    <w:rPr>
      <w:rFonts w:ascii="Calibri" w:hAnsi="Calibri"/>
      <w:szCs w:val="21"/>
    </w:rPr>
  </w:style>
  <w:style w:type="numbering" w:styleId="NoList" w:default="1">
    <w:name w:val="No List"/>
    <w:uiPriority w:val="99"/>
    <w:semiHidden/>
    <w:unhideWhenUsed/>
    <w:qFormat/>
  </w:style>
  <w:style w:type="numbering" w:styleId="Styl26" w:customStyle="1">
    <w:name w:val="Styl26"/>
    <w:qFormat/>
    <w:rsid w:val="001e18cb"/>
  </w:style>
  <w:style w:type="numbering" w:styleId="Styl61" w:customStyle="1">
    <w:name w:val="Styl61"/>
    <w:qFormat/>
    <w:rsid w:val="001e18cb"/>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59"/>
    <w:rsid w:val="008d47d1"/>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
    <w:name w:val="Tabela - Siatka1"/>
    <w:basedOn w:val="Standardowy"/>
    <w:uiPriority w:val="39"/>
    <w:rsid w:val="008d47d1"/>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6">
    <w:name w:val="Tabela - Siatka6"/>
    <w:basedOn w:val="Standardowy"/>
    <w:uiPriority w:val="59"/>
    <w:rsid w:val="00bc6c2f"/>
    <w:pPr>
      <w:spacing w:after="0" w:line="240" w:lineRule="auto"/>
    </w:pPr>
    <w:rPr>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8143e1"/>
    <w:pPr>
      <w:spacing w:after="0" w:line="240" w:lineRule="auto"/>
    </w:pPr>
    <w:tblPr>
      <w:tblCellMar>
        <w:top w:w="0" w:type="dxa"/>
        <w:left w:w="0" w:type="dxa"/>
        <w:bottom w:w="0" w:type="dxa"/>
        <w:right w:w="0" w:type="dxa"/>
      </w:tblCellMar>
    </w:tblPr>
  </w:style>
  <w:style w:type="table" w:customStyle="1" w:styleId="Tabelasiatki6kolorowaakcent11">
    <w:name w:val="Tabela siatki 6 — kolorowa — akcent 11"/>
    <w:basedOn w:val="Standardowy"/>
    <w:uiPriority w:val="51"/>
    <w:rsid w:val="002059b8"/>
    <w:pPr>
      <w:spacing w:after="0" w:line="240" w:lineRule="auto"/>
    </w:pPr>
    <w:rPr>
      <w:rFonts w:eastAsiaTheme="majorEastAsia"/>
      <w:lang w:val="pl-PL"/>
      <w:color w:val="2F5496" w:themeColor="accent1" w:themeShade="bf"/>
      <w:szCs w:val="24"/>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bottom w:val="single" w:color="8EAADB" w:themeColor="accent1" w:sz="12" w:space="0"/>
        </w:tcBorders>
      </w:tcPr>
    </w:tblStylePr>
    <w:tblStylePr w:type="lastRow">
      <w:rPr>
        <w:b/>
        <w:bCs/>
      </w:rPr>
      <w:tblPr/>
      <w:tcPr>
        <w:tcBorders>
          <w:top w:val="double" w:color="8EAADB"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a2">
    <w:name w:val="Tabela - Siatka2"/>
    <w:basedOn w:val="Standardowy"/>
    <w:uiPriority w:val="39"/>
    <w:rsid w:val="001e18cb"/>
    <w:pPr>
      <w:spacing w:after="0" w:line="240" w:lineRule="auto"/>
    </w:pPr>
    <w:rPr>
      <w:rFonts w:eastAsiaTheme="minorEastAsia"/>
      <w:lang w:val="pl-PL" w:eastAsia="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3">
    <w:name w:val="Tabela - Siatka3"/>
    <w:basedOn w:val="Standardowy"/>
    <w:uiPriority w:val="59"/>
    <w:rsid w:val="001e18cb"/>
    <w:pPr>
      <w:spacing w:after="0" w:line="240" w:lineRule="auto"/>
    </w:pPr>
    <w:rPr>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4">
    <w:name w:val="Tabela - Siatka4"/>
    <w:basedOn w:val="Standardowy"/>
    <w:uiPriority w:val="59"/>
    <w:rsid w:val="001e18cb"/>
    <w:pPr>
      <w:spacing w:after="0" w:line="240" w:lineRule="auto"/>
    </w:pPr>
    <w:rPr>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5">
    <w:name w:val="Tabela - Siatka5"/>
    <w:basedOn w:val="Standardowy"/>
    <w:uiPriority w:val="59"/>
    <w:rsid w:val="001e18cb"/>
    <w:pPr>
      <w:spacing w:after="0" w:line="240" w:lineRule="auto"/>
    </w:pPr>
    <w:rPr>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Jasnalistaakcent21">
    <w:name w:val="Jasna lista — akcent 21"/>
    <w:basedOn w:val="Standardowy"/>
    <w:uiPriority w:val="61"/>
    <w:rsid w:val="001e18cb"/>
    <w:pPr>
      <w:spacing w:after="0" w:line="240" w:lineRule="auto"/>
    </w:pPr>
    <w:rPr>
      <w:lang w:val="pl-PL"/>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Pr/>
    </w:tblStylePr>
    <w:tblStylePr w:type="lastCol">
      <w:rPr>
        <w:b/>
        <w:bCs/>
      </w:rPr>
      <w:tbl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Jasnalistaakcent2">
    <w:name w:val="Light List Accent 2"/>
    <w:basedOn w:val="Standardowy"/>
    <w:uiPriority w:val="61"/>
    <w:semiHidden/>
    <w:unhideWhenUsed/>
    <w:rsid w:val="001e18cb"/>
    <w:pPr>
      <w:spacing w:after="0" w:line="240" w:lineRule="auto"/>
    </w:pPr>
    <w:rPr>
      <w:lang w:val="pl-PL"/>
    </w:r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Pr/>
    </w:tblStylePr>
    <w:tblStylePr w:type="lastCol">
      <w:rPr>
        <w:b/>
        <w:bCs/>
      </w:rPr>
      <w:tbl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customStyle="1" w:styleId="Tabela-Siatka11">
    <w:name w:val="Tabela - Siatka11"/>
    <w:basedOn w:val="Standardowy"/>
    <w:uiPriority w:val="59"/>
    <w:rsid w:val="001e18cb"/>
    <w:pPr>
      <w:spacing w:after="0" w:line="240" w:lineRule="auto"/>
    </w:pPr>
    <w:rPr>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Jasnalistaakcent211">
    <w:name w:val="Jasna lista — akcent 211"/>
    <w:basedOn w:val="Standardowy"/>
    <w:uiPriority w:val="61"/>
    <w:rsid w:val="001e18cb"/>
    <w:pPr>
      <w:spacing w:after="0" w:line="240" w:lineRule="auto"/>
    </w:pPr>
    <w:rPr>
      <w:lang w:val="pl-PL"/>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Pr/>
    </w:tblStylePr>
    <w:tblStylePr w:type="lastCol">
      <w:rPr>
        <w:b/>
        <w:bCs/>
      </w:rPr>
      <w:tbl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customStyle="1" w:styleId="Jasnalistaakcent22">
    <w:name w:val="Jasna lista — akcent 22"/>
    <w:basedOn w:val="Standardowy"/>
    <w:uiPriority w:val="61"/>
    <w:semiHidden/>
    <w:unhideWhenUsed/>
    <w:rsid w:val="001e18cb"/>
    <w:pPr>
      <w:spacing w:after="0" w:line="240" w:lineRule="auto"/>
    </w:pPr>
    <w:rPr>
      <w:lang w:val="pl-PL"/>
    </w:r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Pr/>
    </w:tblStylePr>
    <w:tblStylePr w:type="lastCol">
      <w:rPr>
        <w:b/>
        <w:bCs/>
      </w:rPr>
      <w:tbl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customStyle="1" w:styleId="Tabela-Siatka21">
    <w:name w:val="Tabela - Siatka21"/>
    <w:basedOn w:val="Standardowy"/>
    <w:uiPriority w:val="59"/>
    <w:rsid w:val="001e18cb"/>
    <w:pPr>
      <w:spacing w:after="0" w:line="240" w:lineRule="auto"/>
    </w:pPr>
    <w:rPr>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Jasnalistaakcent212">
    <w:name w:val="Jasna lista — akcent 212"/>
    <w:basedOn w:val="Standardowy"/>
    <w:uiPriority w:val="61"/>
    <w:rsid w:val="001e18cb"/>
    <w:pPr>
      <w:spacing w:after="0" w:line="240" w:lineRule="auto"/>
    </w:pPr>
    <w:rPr>
      <w:lang w:val="pl-PL"/>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Pr/>
    </w:tblStylePr>
    <w:tblStylePr w:type="lastCol">
      <w:rPr>
        <w:b/>
        <w:bCs/>
      </w:rPr>
      <w:tbl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dwikozy.gmina.pl/zabytki-na-terenie-gmina-dwikozy.html" TargetMode="Externa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1.jpeg"/><Relationship Id="rId22" Type="http://schemas.openxmlformats.org/officeDocument/2006/relationships/hyperlink" Target="https://dwikozy.gmina.pl/zabytki-na-terenie-gmina-dwikozy.html" TargetMode="External"/><Relationship Id="rId23" Type="http://schemas.openxmlformats.org/officeDocument/2006/relationships/image" Target="media/image12.jpeg"/><Relationship Id="rId24" Type="http://schemas.openxmlformats.org/officeDocument/2006/relationships/image" Target="media/image12.jpeg"/><Relationship Id="rId25" Type="http://schemas.openxmlformats.org/officeDocument/2006/relationships/hyperlink" Target="https://dwikozy.gmina.pl/zabytki-na-terenie-gmina-dwikozy.html" TargetMode="Externa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hyperlink" Target="https://dwikozy.gmina.pl/zabytki-na-terenie-gmina-dwikozy.html" TargetMode="External"/><Relationship Id="rId29" Type="http://schemas.openxmlformats.org/officeDocument/2006/relationships/chart" Target="charts/chart1.xml"/><Relationship Id="rId30" Type="http://schemas.openxmlformats.org/officeDocument/2006/relationships/chart" Target="charts/chart2.xml"/><Relationship Id="rId31" Type="http://schemas.openxmlformats.org/officeDocument/2006/relationships/chart" Target="charts/chart3.xml"/><Relationship Id="rId32" Type="http://schemas.openxmlformats.org/officeDocument/2006/relationships/image" Target="media/image15.png"/><Relationship Id="rId33" Type="http://schemas.openxmlformats.org/officeDocument/2006/relationships/hyperlink" Target="http://spdwikozy.c0.pl/index.php?dzial_id=1&amp;tekst_id=68&amp;step=2" TargetMode="External"/><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hyperlink" Target="https://sites.google.com/site/szpwiniary/foto-albumy/nasze-pracownie" TargetMode="External"/><Relationship Id="rId38" Type="http://schemas.openxmlformats.org/officeDocument/2006/relationships/image" Target="media/image19.jpeg"/><Relationship Id="rId39" Type="http://schemas.openxmlformats.org/officeDocument/2006/relationships/image" Target="media/image20.png"/><Relationship Id="rId40" Type="http://schemas.openxmlformats.org/officeDocument/2006/relationships/header" Target="header5.xml"/><Relationship Id="rId41" Type="http://schemas.openxmlformats.org/officeDocument/2006/relationships/footer" Target="footer3.xml"/><Relationship Id="rId42" Type="http://schemas.openxmlformats.org/officeDocument/2006/relationships/footnotes" Target="footnotes.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Relationship Id="rId48" Type="http://schemas.openxmlformats.org/officeDocument/2006/relationships/customXml" Target="../customXml/item2.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Ogółem </c:v>
                </c:pt>
              </c:strCache>
            </c:strRef>
          </c:tx>
          <c:spPr>
            <a:solidFill>
              <a:srgbClr val="92d050"/>
            </a:solidFill>
            <a:ln w="0">
              <a:noFill/>
            </a:ln>
          </c:spPr>
          <c:invertIfNegative val="0"/>
          <c:dLbls>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2015</c:v>
                </c:pt>
                <c:pt idx="1">
                  <c:v>2016</c:v>
                </c:pt>
                <c:pt idx="2">
                  <c:v>2017</c:v>
                </c:pt>
                <c:pt idx="3">
                  <c:v>2018</c:v>
                </c:pt>
                <c:pt idx="4">
                  <c:v>2019</c:v>
                </c:pt>
                <c:pt idx="5">
                  <c:v>2020</c:v>
                </c:pt>
                <c:pt idx="6">
                  <c:v>2021</c:v>
                </c:pt>
              </c:strCache>
            </c:strRef>
          </c:cat>
          <c:val>
            <c:numRef>
              <c:f>0</c:f>
              <c:numCache>
                <c:formatCode>General</c:formatCode>
                <c:ptCount val="7"/>
                <c:pt idx="0">
                  <c:v>8793</c:v>
                </c:pt>
                <c:pt idx="1">
                  <c:v>8879</c:v>
                </c:pt>
                <c:pt idx="2">
                  <c:v>8859</c:v>
                </c:pt>
                <c:pt idx="3">
                  <c:v>8778</c:v>
                </c:pt>
                <c:pt idx="4">
                  <c:v>8709</c:v>
                </c:pt>
                <c:pt idx="5">
                  <c:v>8650</c:v>
                </c:pt>
                <c:pt idx="6">
                  <c:v>8577</c:v>
                </c:pt>
              </c:numCache>
            </c:numRef>
          </c:val>
        </c:ser>
        <c:ser>
          <c:idx val="1"/>
          <c:order val="1"/>
          <c:tx>
            <c:strRef>
              <c:f>label 1</c:f>
              <c:strCache>
                <c:ptCount val="1"/>
                <c:pt idx="0">
                  <c:v>Kobiet</c:v>
                </c:pt>
              </c:strCache>
            </c:strRef>
          </c:tx>
          <c:spPr>
            <a:solidFill>
              <a:srgbClr val="ffccff"/>
            </a:solidFill>
            <a:ln w="0">
              <a:noFill/>
            </a:ln>
          </c:spPr>
          <c:invertIfNegative val="0"/>
          <c:dLbls>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2015</c:v>
                </c:pt>
                <c:pt idx="1">
                  <c:v>2016</c:v>
                </c:pt>
                <c:pt idx="2">
                  <c:v>2017</c:v>
                </c:pt>
                <c:pt idx="3">
                  <c:v>2018</c:v>
                </c:pt>
                <c:pt idx="4">
                  <c:v>2019</c:v>
                </c:pt>
                <c:pt idx="5">
                  <c:v>2020</c:v>
                </c:pt>
                <c:pt idx="6">
                  <c:v>2021</c:v>
                </c:pt>
              </c:strCache>
            </c:strRef>
          </c:cat>
          <c:val>
            <c:numRef>
              <c:f>1</c:f>
              <c:numCache>
                <c:formatCode>General</c:formatCode>
                <c:ptCount val="7"/>
                <c:pt idx="0">
                  <c:v>4524</c:v>
                </c:pt>
                <c:pt idx="1">
                  <c:v>4507</c:v>
                </c:pt>
                <c:pt idx="2">
                  <c:v>4495</c:v>
                </c:pt>
                <c:pt idx="3">
                  <c:v>4439</c:v>
                </c:pt>
                <c:pt idx="4">
                  <c:v>4382</c:v>
                </c:pt>
                <c:pt idx="5">
                  <c:v>4375</c:v>
                </c:pt>
                <c:pt idx="6">
                  <c:v>4333</c:v>
                </c:pt>
              </c:numCache>
            </c:numRef>
          </c:val>
        </c:ser>
        <c:ser>
          <c:idx val="2"/>
          <c:order val="2"/>
          <c:tx>
            <c:strRef>
              <c:f>label 2</c:f>
              <c:strCache>
                <c:ptCount val="1"/>
                <c:pt idx="0">
                  <c:v>Mężczyzn</c:v>
                </c:pt>
              </c:strCache>
            </c:strRef>
          </c:tx>
          <c:spPr>
            <a:solidFill>
              <a:srgbClr val="00b0f0"/>
            </a:solidFill>
            <a:ln w="0">
              <a:noFill/>
            </a:ln>
          </c:spPr>
          <c:invertIfNegative val="0"/>
          <c:dLbls>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2015</c:v>
                </c:pt>
                <c:pt idx="1">
                  <c:v>2016</c:v>
                </c:pt>
                <c:pt idx="2">
                  <c:v>2017</c:v>
                </c:pt>
                <c:pt idx="3">
                  <c:v>2018</c:v>
                </c:pt>
                <c:pt idx="4">
                  <c:v>2019</c:v>
                </c:pt>
                <c:pt idx="5">
                  <c:v>2020</c:v>
                </c:pt>
                <c:pt idx="6">
                  <c:v>2021</c:v>
                </c:pt>
              </c:strCache>
            </c:strRef>
          </c:cat>
          <c:val>
            <c:numRef>
              <c:f>2</c:f>
              <c:numCache>
                <c:formatCode>General</c:formatCode>
                <c:ptCount val="7"/>
                <c:pt idx="0">
                  <c:v>4269</c:v>
                </c:pt>
                <c:pt idx="1">
                  <c:v>4372</c:v>
                </c:pt>
                <c:pt idx="2">
                  <c:v>4364</c:v>
                </c:pt>
                <c:pt idx="3">
                  <c:v>4339</c:v>
                </c:pt>
                <c:pt idx="4">
                  <c:v>4327</c:v>
                </c:pt>
                <c:pt idx="5">
                  <c:v>4275</c:v>
                </c:pt>
                <c:pt idx="6">
                  <c:v>4244</c:v>
                </c:pt>
              </c:numCache>
            </c:numRef>
          </c:val>
        </c:ser>
        <c:gapWidth val="150"/>
        <c:overlap val="-25"/>
        <c:axId val="93286727"/>
        <c:axId val="66619360"/>
      </c:barChart>
      <c:catAx>
        <c:axId val="9328672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66619360"/>
        <c:crosses val="autoZero"/>
        <c:auto val="1"/>
        <c:lblAlgn val="ctr"/>
        <c:lblOffset val="100"/>
        <c:noMultiLvlLbl val="0"/>
      </c:catAx>
      <c:valAx>
        <c:axId val="66619360"/>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3286727"/>
        <c:crossBetween val="between"/>
      </c:valAx>
      <c:spPr>
        <a:noFill/>
        <a:ln w="0">
          <a:noFill/>
        </a:ln>
      </c:spPr>
    </c:plotArea>
    <c:legend>
      <c:legendPos val="t"/>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Urodzenia żywe</c:v>
                </c:pt>
              </c:strCache>
            </c:strRef>
          </c:tx>
          <c:spPr>
            <a:solidFill>
              <a:srgbClr val="00b050"/>
            </a:solidFill>
            <a:ln w="0">
              <a:noFill/>
            </a:ln>
          </c:spPr>
          <c:invertIfNegative val="0"/>
          <c:dLbls>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2016</c:v>
                </c:pt>
                <c:pt idx="1">
                  <c:v>2017</c:v>
                </c:pt>
                <c:pt idx="2">
                  <c:v>2018</c:v>
                </c:pt>
                <c:pt idx="3">
                  <c:v>2019</c:v>
                </c:pt>
                <c:pt idx="4">
                  <c:v>2020</c:v>
                </c:pt>
                <c:pt idx="5">
                  <c:v>2021</c:v>
                </c:pt>
              </c:strCache>
            </c:strRef>
          </c:cat>
          <c:val>
            <c:numRef>
              <c:f>0</c:f>
              <c:numCache>
                <c:formatCode>General</c:formatCode>
                <c:ptCount val="6"/>
                <c:pt idx="0">
                  <c:v>80</c:v>
                </c:pt>
                <c:pt idx="1">
                  <c:v>65</c:v>
                </c:pt>
                <c:pt idx="2">
                  <c:v>73</c:v>
                </c:pt>
                <c:pt idx="3">
                  <c:v>84</c:v>
                </c:pt>
                <c:pt idx="4">
                  <c:v>59</c:v>
                </c:pt>
                <c:pt idx="5">
                  <c:v>66</c:v>
                </c:pt>
              </c:numCache>
            </c:numRef>
          </c:val>
        </c:ser>
        <c:ser>
          <c:idx val="1"/>
          <c:order val="1"/>
          <c:tx>
            <c:strRef>
              <c:f>label 1</c:f>
              <c:strCache>
                <c:ptCount val="1"/>
                <c:pt idx="0">
                  <c:v>Zgony ogółem</c:v>
                </c:pt>
              </c:strCache>
            </c:strRef>
          </c:tx>
          <c:spPr>
            <a:solidFill>
              <a:srgbClr val="00b0f0"/>
            </a:solidFill>
            <a:ln w="0">
              <a:noFill/>
            </a:ln>
          </c:spPr>
          <c:invertIfNegative val="0"/>
          <c:dLbls>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2016</c:v>
                </c:pt>
                <c:pt idx="1">
                  <c:v>2017</c:v>
                </c:pt>
                <c:pt idx="2">
                  <c:v>2018</c:v>
                </c:pt>
                <c:pt idx="3">
                  <c:v>2019</c:v>
                </c:pt>
                <c:pt idx="4">
                  <c:v>2020</c:v>
                </c:pt>
                <c:pt idx="5">
                  <c:v>2021</c:v>
                </c:pt>
              </c:strCache>
            </c:strRef>
          </c:cat>
          <c:val>
            <c:numRef>
              <c:f>1</c:f>
              <c:numCache>
                <c:formatCode>General</c:formatCode>
                <c:ptCount val="6"/>
                <c:pt idx="0">
                  <c:v>98</c:v>
                </c:pt>
                <c:pt idx="1">
                  <c:v>109</c:v>
                </c:pt>
                <c:pt idx="2">
                  <c:v>109</c:v>
                </c:pt>
                <c:pt idx="3">
                  <c:v>113</c:v>
                </c:pt>
                <c:pt idx="4">
                  <c:v>127</c:v>
                </c:pt>
                <c:pt idx="5">
                  <c:v>151</c:v>
                </c:pt>
              </c:numCache>
            </c:numRef>
          </c:val>
        </c:ser>
        <c:gapWidth val="150"/>
        <c:overlap val="-25"/>
        <c:axId val="75228020"/>
        <c:axId val="40068529"/>
      </c:barChart>
      <c:lineChart>
        <c:grouping val="standard"/>
        <c:varyColors val="0"/>
        <c:ser>
          <c:idx val="2"/>
          <c:order val="2"/>
          <c:tx>
            <c:strRef>
              <c:f>label 2</c:f>
              <c:strCache>
                <c:ptCount val="1"/>
                <c:pt idx="0">
                  <c:v>Przyrost naturalny</c:v>
                </c:pt>
              </c:strCache>
            </c:strRef>
          </c:tx>
          <c:spPr>
            <a:solidFill>
              <a:srgbClr val="ffc000"/>
            </a:solidFill>
            <a:ln cap="rnd" w="28440">
              <a:solidFill>
                <a:srgbClr val="ffc000"/>
              </a:solidFill>
              <a:round/>
            </a:ln>
          </c:spPr>
          <c:marker>
            <c:symbol val="square"/>
            <c:size val="12"/>
            <c:spPr>
              <a:solidFill>
                <a:srgbClr val="ffc000"/>
              </a:solidFill>
            </c:spPr>
          </c:marker>
          <c:dLbls>
            <c:numFmt formatCode="#,##0" sourceLinked="0"/>
            <c:txPr>
              <a:bodyPr wrap="square"/>
              <a:lstStyle/>
              <a:p>
                <a:pPr>
                  <a:defRPr b="0" sz="900" spc="-1" strike="noStrike">
                    <a:solidFill>
                      <a:srgbClr val="000000"/>
                    </a:solidFill>
                    <a:latin typeface="Calibri"/>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2016</c:v>
                </c:pt>
                <c:pt idx="1">
                  <c:v>2017</c:v>
                </c:pt>
                <c:pt idx="2">
                  <c:v>2018</c:v>
                </c:pt>
                <c:pt idx="3">
                  <c:v>2019</c:v>
                </c:pt>
                <c:pt idx="4">
                  <c:v>2020</c:v>
                </c:pt>
                <c:pt idx="5">
                  <c:v>2021</c:v>
                </c:pt>
              </c:strCache>
            </c:strRef>
          </c:cat>
          <c:val>
            <c:numRef>
              <c:f>2</c:f>
              <c:numCache>
                <c:formatCode>General</c:formatCode>
                <c:ptCount val="6"/>
                <c:pt idx="0">
                  <c:v>-18</c:v>
                </c:pt>
                <c:pt idx="1">
                  <c:v>-44</c:v>
                </c:pt>
                <c:pt idx="2">
                  <c:v>-36</c:v>
                </c:pt>
                <c:pt idx="3">
                  <c:v>-29</c:v>
                </c:pt>
                <c:pt idx="4">
                  <c:v>-68</c:v>
                </c:pt>
                <c:pt idx="5">
                  <c:v>-85</c:v>
                </c:pt>
              </c:numCache>
            </c:numRef>
          </c:val>
          <c:smooth val="0"/>
        </c:ser>
        <c:hiLowLines>
          <c:spPr>
            <a:ln w="0">
              <a:noFill/>
            </a:ln>
          </c:spPr>
        </c:hiLowLines>
        <c:marker val="1"/>
        <c:axId val="45665086"/>
        <c:axId val="15476006"/>
      </c:lineChart>
      <c:catAx>
        <c:axId val="7522802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40068529"/>
        <c:crosses val="autoZero"/>
        <c:auto val="1"/>
        <c:lblAlgn val="ctr"/>
        <c:lblOffset val="100"/>
        <c:noMultiLvlLbl val="0"/>
      </c:catAx>
      <c:valAx>
        <c:axId val="40068529"/>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5228020"/>
        <c:crossBetween val="between"/>
      </c:valAx>
      <c:catAx>
        <c:axId val="45665086"/>
        <c:scaling>
          <c:orientation val="minMax"/>
        </c:scaling>
        <c:delete val="1"/>
        <c:axPos val="t"/>
        <c:numFmt formatCode="[$-415]d/mm/yyyy"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5476006"/>
        <c:auto val="1"/>
        <c:lblAlgn val="ctr"/>
        <c:lblOffset val="100"/>
        <c:noMultiLvlLbl val="0"/>
      </c:catAx>
      <c:valAx>
        <c:axId val="15476006"/>
        <c:scaling>
          <c:orientation val="minMax"/>
        </c:scaling>
        <c:delete val="1"/>
        <c:axPos val="r"/>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5665086"/>
        <c:crossBetween val="between"/>
      </c:valAx>
      <c:spPr>
        <a:noFill/>
        <a:ln w="0">
          <a:noFill/>
        </a:ln>
      </c:spPr>
    </c:plotArea>
    <c:legend>
      <c:legendPos val="t"/>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234375"/>
          <c:y val="0.101666666666667"/>
          <c:w val="0.9531875"/>
          <c:h val="0.835777777777778"/>
        </c:manualLayout>
      </c:layout>
      <c:barChart>
        <c:barDir val="col"/>
        <c:grouping val="clustered"/>
        <c:varyColors val="0"/>
        <c:ser>
          <c:idx val="0"/>
          <c:order val="0"/>
          <c:tx>
            <c:strRef>
              <c:f>label 0</c:f>
              <c:strCache>
                <c:ptCount val="1"/>
                <c:pt idx="0">
                  <c:v>Zameldowania ogółem</c:v>
                </c:pt>
              </c:strCache>
            </c:strRef>
          </c:tx>
          <c:spPr>
            <a:solidFill>
              <a:srgbClr val="00b050"/>
            </a:solidFill>
            <a:ln w="0">
              <a:noFill/>
            </a:ln>
          </c:spPr>
          <c:invertIfNegative val="0"/>
          <c:dLbls>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2015</c:v>
                </c:pt>
                <c:pt idx="1">
                  <c:v>2016</c:v>
                </c:pt>
                <c:pt idx="2">
                  <c:v>2017</c:v>
                </c:pt>
                <c:pt idx="3">
                  <c:v>2018</c:v>
                </c:pt>
                <c:pt idx="4">
                  <c:v>2019</c:v>
                </c:pt>
                <c:pt idx="5">
                  <c:v>2020</c:v>
                </c:pt>
              </c:strCache>
            </c:strRef>
          </c:cat>
          <c:val>
            <c:numRef>
              <c:f>0</c:f>
              <c:numCache>
                <c:formatCode>General</c:formatCode>
                <c:ptCount val="6"/>
                <c:pt idx="0">
                  <c:v>37</c:v>
                </c:pt>
                <c:pt idx="1">
                  <c:v>42</c:v>
                </c:pt>
                <c:pt idx="2">
                  <c:v>51</c:v>
                </c:pt>
                <c:pt idx="3">
                  <c:v>39</c:v>
                </c:pt>
                <c:pt idx="4">
                  <c:v>48</c:v>
                </c:pt>
                <c:pt idx="5">
                  <c:v>69</c:v>
                </c:pt>
              </c:numCache>
            </c:numRef>
          </c:val>
        </c:ser>
        <c:ser>
          <c:idx val="1"/>
          <c:order val="1"/>
          <c:tx>
            <c:strRef>
              <c:f>label 1</c:f>
              <c:strCache>
                <c:ptCount val="1"/>
                <c:pt idx="0">
                  <c:v>Wymeldowania ogółem</c:v>
                </c:pt>
              </c:strCache>
            </c:strRef>
          </c:tx>
          <c:spPr>
            <a:solidFill>
              <a:srgbClr val="00b0f0"/>
            </a:solidFill>
            <a:ln w="0">
              <a:noFill/>
            </a:ln>
          </c:spPr>
          <c:invertIfNegative val="0"/>
          <c:dLbls>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2015</c:v>
                </c:pt>
                <c:pt idx="1">
                  <c:v>2016</c:v>
                </c:pt>
                <c:pt idx="2">
                  <c:v>2017</c:v>
                </c:pt>
                <c:pt idx="3">
                  <c:v>2018</c:v>
                </c:pt>
                <c:pt idx="4">
                  <c:v>2019</c:v>
                </c:pt>
                <c:pt idx="5">
                  <c:v>2020</c:v>
                </c:pt>
              </c:strCache>
            </c:strRef>
          </c:cat>
          <c:val>
            <c:numRef>
              <c:f>1</c:f>
              <c:numCache>
                <c:formatCode>General</c:formatCode>
                <c:ptCount val="6"/>
                <c:pt idx="0">
                  <c:v>92</c:v>
                </c:pt>
                <c:pt idx="1">
                  <c:v>71</c:v>
                </c:pt>
                <c:pt idx="2">
                  <c:v>104</c:v>
                </c:pt>
                <c:pt idx="3">
                  <c:v>82</c:v>
                </c:pt>
                <c:pt idx="4">
                  <c:v>93</c:v>
                </c:pt>
                <c:pt idx="5">
                  <c:v>69</c:v>
                </c:pt>
              </c:numCache>
            </c:numRef>
          </c:val>
        </c:ser>
        <c:gapWidth val="150"/>
        <c:overlap val="-25"/>
        <c:axId val="84414796"/>
        <c:axId val="94403807"/>
      </c:barChart>
      <c:lineChart>
        <c:grouping val="standard"/>
        <c:varyColors val="0"/>
        <c:ser>
          <c:idx val="2"/>
          <c:order val="2"/>
          <c:tx>
            <c:strRef>
              <c:f>label 2</c:f>
              <c:strCache>
                <c:ptCount val="1"/>
                <c:pt idx="0">
                  <c:v>Saldo migracja</c:v>
                </c:pt>
              </c:strCache>
            </c:strRef>
          </c:tx>
          <c:spPr>
            <a:solidFill>
              <a:srgbClr val="ff0000"/>
            </a:solidFill>
            <a:ln cap="rnd" w="28440">
              <a:solidFill>
                <a:srgbClr val="ff0000"/>
              </a:solidFill>
              <a:round/>
            </a:ln>
          </c:spPr>
          <c:marker>
            <c:symbol val="square"/>
            <c:size val="13"/>
            <c:spPr>
              <a:solidFill>
                <a:srgbClr val="ff0000"/>
              </a:solidFill>
            </c:spPr>
          </c:marker>
          <c:dLbls>
            <c:numFmt formatCode="General" sourceLinked="0"/>
            <c:txPr>
              <a:bodyPr wrap="square"/>
              <a:lstStyle/>
              <a:p>
                <a:pPr>
                  <a:defRPr b="0" sz="900" spc="-1" strike="noStrike">
                    <a:solidFill>
                      <a:srgbClr val="000000"/>
                    </a:solidFill>
                    <a:latin typeface="Calibri"/>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2015</c:v>
                </c:pt>
                <c:pt idx="1">
                  <c:v>2016</c:v>
                </c:pt>
                <c:pt idx="2">
                  <c:v>2017</c:v>
                </c:pt>
                <c:pt idx="3">
                  <c:v>2018</c:v>
                </c:pt>
                <c:pt idx="4">
                  <c:v>2019</c:v>
                </c:pt>
                <c:pt idx="5">
                  <c:v>2020</c:v>
                </c:pt>
              </c:strCache>
            </c:strRef>
          </c:cat>
          <c:val>
            <c:numRef>
              <c:f>2</c:f>
              <c:numCache>
                <c:formatCode>General</c:formatCode>
                <c:ptCount val="6"/>
                <c:pt idx="0">
                  <c:v>-55</c:v>
                </c:pt>
                <c:pt idx="1">
                  <c:v>-29</c:v>
                </c:pt>
                <c:pt idx="2">
                  <c:v>-53</c:v>
                </c:pt>
                <c:pt idx="3">
                  <c:v>-43</c:v>
                </c:pt>
                <c:pt idx="4">
                  <c:v>-45</c:v>
                </c:pt>
                <c:pt idx="5">
                  <c:v>0</c:v>
                </c:pt>
              </c:numCache>
            </c:numRef>
          </c:val>
          <c:smooth val="0"/>
        </c:ser>
        <c:hiLowLines>
          <c:spPr>
            <a:ln w="0">
              <a:noFill/>
            </a:ln>
          </c:spPr>
        </c:hiLowLines>
        <c:marker val="1"/>
        <c:axId val="68175386"/>
        <c:axId val="85262054"/>
      </c:lineChart>
      <c:catAx>
        <c:axId val="8441479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94403807"/>
        <c:crosses val="autoZero"/>
        <c:auto val="1"/>
        <c:lblAlgn val="ctr"/>
        <c:lblOffset val="100"/>
        <c:noMultiLvlLbl val="0"/>
      </c:catAx>
      <c:valAx>
        <c:axId val="94403807"/>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4414796"/>
        <c:crossBetween val="between"/>
      </c:valAx>
      <c:catAx>
        <c:axId val="68175386"/>
        <c:scaling>
          <c:orientation val="minMax"/>
        </c:scaling>
        <c:delete val="1"/>
        <c:axPos val="t"/>
        <c:numFmt formatCode="[$-415]d/mm/yyyy"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5262054"/>
        <c:auto val="1"/>
        <c:lblAlgn val="ctr"/>
        <c:lblOffset val="100"/>
        <c:noMultiLvlLbl val="0"/>
      </c:catAx>
      <c:valAx>
        <c:axId val="85262054"/>
        <c:scaling>
          <c:orientation val="minMax"/>
        </c:scaling>
        <c:delete val="1"/>
        <c:axPos val="r"/>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68175386"/>
        <c:crossBetween val="between"/>
      </c:valAx>
      <c:spPr>
        <a:noFill/>
        <a:ln w="0">
          <a:noFill/>
        </a:ln>
      </c:spPr>
    </c:plotArea>
    <c:legend>
      <c:legendPos val="t"/>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8B3523FF-B527-4BB2-86E3-4B18CCD667CB}">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3564</TotalTime>
  <Application>LibreOffice/7.4.0.3$Windows_X86_64 LibreOffice_project/f85e47c08ddd19c015c0114a68350214f7066f5a</Application>
  <AppVersion>15.0000</AppVersion>
  <Pages>67</Pages>
  <Words>26633</Words>
  <Characters>162659</Characters>
  <CharactersWithSpaces>184971</CharactersWithSpaces>
  <Paragraphs>4595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2022-02-16T13:50:00Z</dcterms:created>
  <dc:creator>Rafał Graczkowski</dc:creator>
  <dc:description/>
  <dc:language>pl-PL</dc:language>
  <cp:lastModifiedBy>Rafał Graczkowski</cp:lastModifiedBy>
  <cp:lastPrinted>2022-08-02T12:46:00Z</cp:lastPrinted>
  <dcterms:modified xsi:type="dcterms:W3CDTF">2022-11-09T11:02:00Z</dcterms:modified>
  <cp:revision>235</cp:revision>
  <dc:subject/>
  <dc:title>DIAGNOZA SYTUACJI SPOŁECZNEJ, GOSPODARCZEJ I PRZESTRZENNEJ GMINY NOWA SŁUPIA</dc:title>
</cp:coreProperties>
</file>

<file path=docProps/custom.xml><?xml version="1.0" encoding="utf-8"?>
<Properties xmlns="http://schemas.openxmlformats.org/officeDocument/2006/custom-properties" xmlns:vt="http://schemas.openxmlformats.org/officeDocument/2006/docPropsVTypes"/>
</file>